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3.png" ContentType="image/png"/>
  <Override PartName="/word/media/rId30.png" ContentType="image/png"/>
  <Override PartName="/word/media/rId40.png" ContentType="image/png"/>
  <Override PartName="/word/media/rId82.png" ContentType="image/png"/>
  <Override PartName="/word/media/rId71.png" ContentType="image/png"/>
  <Override PartName="/word/media/rId68.png" ContentType="image/png"/>
  <Override PartName="/word/media/rId150.png" ContentType="image/png"/>
  <Override PartName="/word/media/rId69.png" ContentType="image/png"/>
  <Override PartName="/word/media/rId94.png" ContentType="image/png"/>
  <Override PartName="/word/media/rId66.png" ContentType="image/png"/>
  <Override PartName="/word/media/rId65.png" ContentType="image/png"/>
  <Override PartName="/word/media/rId72.png" ContentType="image/png"/>
  <Override PartName="/word/media/rId99.png" ContentType="image/png"/>
  <Override PartName="/word/media/rId91.png" ContentType="image/png"/>
  <Override PartName="/word/media/rId93.png" ContentType="image/png"/>
  <Override PartName="/word/media/rId60.png" ContentType="image/png"/>
  <Override PartName="/word/media/rId61.png" ContentType="image/png"/>
  <Override PartName="/word/media/rId112.png" ContentType="image/png"/>
  <Override PartName="/word/media/rId110.png" ContentType="image/png"/>
  <Override PartName="/word/media/rId111.png" ContentType="image/png"/>
  <Override PartName="/word/media/rId96.png" ContentType="image/png"/>
  <Override PartName="/word/media/rId145.png" ContentType="image/png"/>
  <Override PartName="/word/media/rId144.png" ContentType="image/png"/>
  <Override PartName="/word/media/rId142.png" ContentType="image/png"/>
  <Override PartName="/word/media/rId141.png" ContentType="image/png"/>
  <Override PartName="/word/media/rId88.png" ContentType="image/png"/>
  <Override PartName="/word/media/rId89.png" ContentType="image/png"/>
  <Override PartName="/word/media/rId63.png" ContentType="image/png"/>
  <Override PartName="/word/media/rId56.png" ContentType="image/png"/>
  <Override PartName="/word/media/rId136.png" ContentType="image/png"/>
  <Override PartName="/word/media/rId138.png" ContentType="image/png"/>
  <Override PartName="/word/media/rId139.png" ContentType="image/png"/>
  <Override PartName="/word/media/rId101.png" ContentType="image/png"/>
  <Override PartName="/word/media/rId133.png" ContentType="image/png"/>
  <Override PartName="/word/media/rId132.png" ContentType="image/png"/>
  <Override PartName="/word/media/rId102.png" ContentType="image/png"/>
  <Override PartName="/word/media/rId130.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w:t>
      </w:r>
      <w:r>
        <w:rPr>
          <w:rStyle w:val="FootnoteReference"/>
        </w:rPr>
        <w:footnoteReference w:id="23"/>
      </w:r>
      <w:r>
        <w:t xml:space="preserve"> </w:t>
      </w:r>
      <w:r>
        <w:t xml:space="preserve">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4">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5" w:name="acknowledgments"/>
      <w:r>
        <w:t xml:space="preserve">Acknowledgments</w:t>
      </w:r>
      <w:bookmarkEnd w:id="25"/>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6" w:name="dedication"/>
      <w:r>
        <w:t xml:space="preserve">Dedication</w:t>
      </w:r>
      <w:bookmarkEnd w:id="26"/>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7" w:name="introduction-background"/>
      <w:r>
        <w:t xml:space="preserve">Introduction &amp; background</w:t>
      </w:r>
      <w:bookmarkEnd w:id="27"/>
    </w:p>
    <w:p>
      <w:pPr>
        <w:pStyle w:val="Heading3"/>
      </w:pPr>
      <w:bookmarkStart w:id="28" w:name="X950a60ad65bf96ca879ca6f7ac714147c4499d1"/>
      <w:r>
        <w:t xml:space="preserve">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4"/>
      </w:pPr>
      <w:bookmarkStart w:id="29" w:name="X2458352b66b8ecb7c67f987a899314109b31192"/>
      <w:r>
        <w:t xml:space="preserve">Source water considerations for Greater Victoria’s water supply areas</w:t>
      </w:r>
      <w:bookmarkEnd w:id="29"/>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and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 xml:space="preserve">refs or link</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(9,628 hectares) 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 .</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0"/>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pPr>
        <w:pStyle w:val="Heading3"/>
      </w:pPr>
      <w:bookmarkStart w:id="31" w:name="research-questions-and-objectives"/>
      <w:r>
        <w:t xml:space="preserve">Research questions and objectives</w:t>
      </w:r>
      <w:bookmarkEnd w:id="31"/>
    </w:p>
    <w:p>
      <w:pPr>
        <w:pStyle w:val="FirstParagraph"/>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are addressed in subsequent chapters.</w:t>
      </w:r>
    </w:p>
    <w:p>
      <w:pPr>
        <w:pStyle w:val="BodyText"/>
      </w:pPr>
      <w:r>
        <w:t xml:space="preserve"> </w:t>
      </w:r>
    </w:p>
    <w:p>
      <w:pPr>
        <w:pStyle w:val="BodyText"/>
      </w:pPr>
      <w:r>
        <w:rPr>
          <w:b/>
        </w:rPr>
        <w:t xml:space="preserve">RQ.1.</w:t>
      </w:r>
      <w:r>
        <w:t xml:space="preserve"> </w:t>
      </w:r>
      <w:r>
        <w:t xml:space="preserve">What are the ranges for DOC concentration and NOM character between adjacent drainage basins and among nested sub-catchments in the Greater Victoria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2" w:name="spatial-and-temporal-patterns-in-doc-nom"/>
      <w:r>
        <w:t xml:space="preserve">Spatial and temporal patterns in DOC &amp; NOM</w:t>
      </w:r>
      <w:bookmarkEnd w:id="32"/>
    </w:p>
    <w:p>
      <w:pPr>
        <w:pStyle w:val="Heading3"/>
      </w:pPr>
      <w:bookmarkStart w:id="33" w:name="introduction"/>
      <w:r>
        <w:t xml:space="preserve">Introduction</w:t>
      </w:r>
      <w:bookmarkEnd w:id="33"/>
    </w:p>
    <w:p>
      <w:pPr>
        <w:pStyle w:val="FirstParagraph"/>
      </w:pPr>
      <w:r>
        <w:t xml:space="preserve">Drinking water in Canada is primarily sourced from surface water supplies.</w:t>
      </w:r>
      <w:r>
        <w:t xml:space="preserve"> </w:t>
      </w:r>
      <w:r>
        <w:t xml:space="preserve">Over 85% of Canadians, and approximately 80% of British Columbias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Climate, weather, and physical characteristics of a watershed lead to variations in surface water quality, and runoff links surface water sources to the landscape by introducing terrestrial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Heading4"/>
      </w:pPr>
      <w:bookmarkStart w:id="34" w:name="X7414d6706d8402b87a2f3462fc755a05cce3a3a"/>
      <w:r>
        <w:t xml:space="preserve">Aqueous natural organic matter in source water supply</w:t>
      </w:r>
      <w:bookmarkEnd w:id="34"/>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4"/>
      </w:pPr>
      <w:bookmarkStart w:id="35" w:name="surface-water-sampling-strategies"/>
      <w:r>
        <w:t xml:space="preserve">Surface water sampling strategies</w:t>
      </w:r>
      <w:bookmarkEnd w:id="35"/>
    </w:p>
    <w:p>
      <w:pPr>
        <w:pStyle w:val="FirstParagraph"/>
      </w:pPr>
      <w:r>
        <w:t xml:space="preserve">why do we sample?…</w:t>
      </w:r>
      <w:r>
        <w:t xml:space="preserve"> </w:t>
      </w:r>
      <w:r>
        <w:t xml:space="preserve">representative sampling…</w:t>
      </w:r>
      <w:r>
        <w:t xml:space="preserve"> </w:t>
      </w:r>
      <w:r>
        <w:t xml:space="preserve">methods of collecting samples…</w:t>
      </w:r>
      <w:r>
        <w:t xml:space="preserve"> </w:t>
      </w:r>
      <w:r>
        <w:t xml:space="preserve">-spatial representation</w:t>
      </w:r>
      <w:r>
        <w:t xml:space="preserve"> </w:t>
      </w:r>
      <w:r>
        <w:t xml:space="preserve">-temporal representation</w:t>
      </w:r>
      <w:r>
        <w:t xml:space="preserve"> </w:t>
      </w:r>
      <w:r>
        <w:t xml:space="preserve">influence of seasonality</w:t>
      </w:r>
    </w:p>
    <w:p>
      <w:pPr>
        <w:pStyle w:val="Heading5"/>
      </w:pPr>
      <w:bookmarkStart w:id="36" w:name="event-based-sampling"/>
      <w:r>
        <w:t xml:space="preserve">Event-based sampling</w:t>
      </w:r>
      <w:bookmarkEnd w:id="36"/>
    </w:p>
    <w:p>
      <w:pPr>
        <w:pStyle w:val="FirstParagraph"/>
      </w:pPr>
      <w:r>
        <w:t xml:space="preserve">Synoptic grab sampling can cover a wide area over a relatively short period of time, but it can be difficult to schedule a synoptic sampling campaign for specific weather and flow conditions, especially for short durations of rapid runoff (</w:t>
      </w:r>
      <w:r>
        <w:t xml:space="preserve">Harmel, King, and Slade (</w:t>
      </w:r>
      <w:hyperlink w:anchor="ref-Harmel2003">
        <w:r>
          <w:rPr>
            <w:rStyle w:val="Hyperlink"/>
          </w:rPr>
          <w:t xml:space="preserve">2003</w:t>
        </w:r>
      </w:hyperlink>
      <w:r>
        <w:t xml:space="preserve">)</w:t>
      </w:r>
      <w:r>
        <w:t xml:space="preserve">).</w:t>
      </w:r>
    </w:p>
    <w:p>
      <w:pPr>
        <w:pStyle w:val="BodyText"/>
      </w:pPr>
      <w:r>
        <w:t xml:space="preserve">Water samples from the rising limb of the hydrograph have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The dynamic changes that occur during events are of interest for understanding water quality variation and ranges, however it is logistically challenging and potentially dangerous to manually collect standard grab samples during high flows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w:t>
      </w:r>
    </w:p>
    <w:p>
      <w:pPr>
        <w:pStyle w:val="BodyText"/>
      </w:pPr>
      <w:r>
        <w:t xml:space="preserve"> </w:t>
      </w:r>
    </w:p>
    <w:p>
      <w:pPr>
        <w:pStyle w:val="BodyText"/>
      </w:pPr>
      <w:r>
        <w:t xml:space="preserve">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multiple sites in remote or difficult to access locations (</w:t>
      </w:r>
      <w:r>
        <w:t xml:space="preserve">Mackay and Taylor (</w:t>
      </w:r>
      <w:hyperlink w:anchor="ref-Mackay2012">
        <w:r>
          <w:rPr>
            <w:rStyle w:val="Hyperlink"/>
          </w:rPr>
          <w:t xml:space="preserve">2012</w:t>
        </w:r>
      </w:hyperlink>
      <w:r>
        <w:t xml:space="preserve">)</w:t>
      </w:r>
      <w:r>
        <w:t xml:space="preserve">). A siphon sampler is a passive sampling alternative to a pump sampler; it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p>
    <w:p>
      <w:pPr>
        <w:pStyle w:val="Heading4"/>
      </w:pPr>
      <w:bookmarkStart w:id="37" w:name="research-objectives"/>
      <w:r>
        <w:t xml:space="preserve">Research objectives</w:t>
      </w:r>
      <w:bookmarkEnd w:id="37"/>
    </w:p>
    <w:p>
      <w:pPr>
        <w:pStyle w:val="FirstParagraph"/>
      </w:pPr>
      <w:r>
        <w:t xml:space="preserve">A sampling strategy was developed to quantify the ranges of DOC concentration and NOM character between adjacent drainage basins and among nested sub-catchments the Greater Victoria water supply area across seasons.</w:t>
      </w:r>
    </w:p>
    <w:p>
      <w:pPr>
        <w:pStyle w:val="Heading3"/>
      </w:pPr>
      <w:bookmarkStart w:id="38" w:name="methods"/>
      <w:r>
        <w:t xml:space="preserve">Methods</w:t>
      </w:r>
      <w:bookmarkEnd w:id="38"/>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9" w:name="sampling-sites"/>
      <w:r>
        <w:t xml:space="preserve">Sampling sites</w:t>
      </w:r>
      <w:bookmarkEnd w:id="39"/>
    </w:p>
    <w:p>
      <w:pPr>
        <w:pStyle w:val="FirstParagraph"/>
      </w:pPr>
      <w:r>
        <w:t xml:space="preserve">Most of sampling sites were located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w:t>
      </w:r>
    </w:p>
    <w:p>
      <w:pPr>
        <w:pStyle w:val="BodyText"/>
      </w:pPr>
      <w:r>
        <w:t xml:space="preserve">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40"/>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41" w:name="synoptic-sampling"/>
      <w:r>
        <w:t xml:space="preserve">Synoptic sampling</w:t>
      </w:r>
      <w:bookmarkEnd w:id="41"/>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w:t>
      </w:r>
      <w:r>
        <w:t xml:space="preserve"> </w:t>
      </w:r>
      <w:r>
        <w:rPr>
          <w:i/>
        </w:rPr>
        <w:t xml:space="preserve">12</w:t>
      </w:r>
      <w:r>
        <w:t xml:space="preserve"> </w:t>
      </w:r>
      <w:r>
        <w:t xml:space="preserve">samples that were collected by CRD staff in January 2020 which were refrigerated for almost two weeks prior to filtration &amp; acidification. Samples for NOM spectroscopy were confirmed to have zero turbidity, were measured unfiltered and un-acidified.</w:t>
      </w:r>
    </w:p>
    <w:p>
      <w:pPr>
        <w:pStyle w:val="Heading5"/>
      </w:pPr>
      <w:bookmarkStart w:id="42" w:name="monitoring-sampling-stations"/>
      <w:r>
        <w:t xml:space="preserve">Monitoring &amp; sampling stations</w:t>
      </w:r>
      <w:bookmarkEnd w:id="42"/>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enhanced passive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Siphon sampling bottles were used on vertical sampling racks as a cost-effective, logistically practical and reliable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 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two 1/4" (O.D.) stainless steel tubes that created the siphon system; one tube was longer than the other, both had a 180</w:t>
      </w:r>
      <m:oMath>
        <m:sSup>
          <m:e>
            <m:r>
              <m:t>​</m:t>
            </m:r>
          </m:e>
          <m:sup>
            <m:r>
              <m:t>∘</m:t>
            </m:r>
          </m:sup>
        </m:sSup>
      </m:oMath>
      <w:r>
        <w:t xml:space="preserve"> </w:t>
      </w:r>
      <w:r>
        <w:t xml:space="preserve">bend at the top end. Marine epoxy was used on the outside of siphon caps to ensure a water-tight seal around the inlet and exhaust (lower and upper tubes, respectively), and inert silicone sealant was added to the inside of lids to ensure watertightness and clean sample containment. The siphon samplers collected river water from approximately 5 cm below the surface (the distance between bend at top of intake tube to inlet orifice).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Each time a monitoring site was visited, empty acid-washed sample bottles with siphon lids were set out on vertical racks. The stage at which each siphon bottle filled was recorded; this was the height on the stilling-well measuring tape that corresponded to the top of each siphon intake tube bend.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Heading6"/>
      </w:pPr>
      <w:bookmarkStart w:id="44" w:name="siphon-sampler-assumptions"/>
      <w:r>
        <w:t xml:space="preserve">Siphon sampler assumptions</w:t>
      </w:r>
      <w:bookmarkEnd w:id="44"/>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Heading6"/>
      </w:pPr>
      <w:bookmarkStart w:id="45" w:name="sampling-rack-hold-time-experiments"/>
      <w:r>
        <w:t xml:space="preserve">Sampling rack hold-time experiments</w:t>
      </w:r>
      <w:bookmarkEnd w:id="45"/>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Heading4"/>
      </w:pPr>
      <w:bookmarkStart w:id="46" w:name="laboraory-analyses-of-water-samples"/>
      <w:r>
        <w:t xml:space="preserve">Laboraory analyses of water samples</w:t>
      </w:r>
      <w:bookmarkEnd w:id="46"/>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Heading5"/>
      </w:pPr>
      <w:bookmarkStart w:id="47" w:name="quantifying-doc-dissolved-organic-carbon"/>
      <w:r>
        <w:t xml:space="preserve">Quantifying DOC (dissolved organic carbon)</w:t>
      </w:r>
      <w:bookmarkEnd w:id="47"/>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Heading6"/>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Heading6"/>
      </w:pPr>
      <w:bookmarkStart w:id="49" w:name="instrumental-analysis"/>
      <w:r>
        <w:t xml:space="preserve">Instrumental analysis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w:t>
      </w:r>
    </w:p>
    <w:p>
      <w:pPr>
        <w:pStyle w:val="BodyText"/>
      </w:pPr>
      <w:r>
        <w:t xml:space="preserve">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Heading5"/>
      </w:pPr>
      <w:bookmarkStart w:id="50" w:name="X7e9e3c08bf23e8477697b7359078143289e45ae"/>
      <w:r>
        <w:t xml:space="preserve">Characterization of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w:t>
      </w:r>
      <w:r>
        <w:t xml:space="preserve"> </w:t>
      </w:r>
      <w:r>
        <w:t xml:space="preserve">(Helms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Heading6"/>
      </w:pPr>
      <w:bookmarkStart w:id="51" w:name="sample-analysis"/>
      <w:r>
        <w:t xml:space="preserve">Sample analysis</w:t>
      </w:r>
      <w:bookmarkEnd w:id="51"/>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Heading6"/>
      </w:pPr>
      <w:bookmarkStart w:id="52" w:name="instrument-and-data-handling"/>
      <w:r>
        <w:t xml:space="preserve">Instrument and data handling</w:t>
      </w:r>
      <w:bookmarkEnd w:id="52"/>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Heading6"/>
      </w:pPr>
      <w:bookmarkStart w:id="53" w:name="suva254-specific-ultraviolet-absorbance"/>
      <w:r>
        <w:t xml:space="preserve">SUVA</w:t>
      </w:r>
      <w:r>
        <w:rPr>
          <w:vertAlign w:val="subscript"/>
        </w:rPr>
        <w:t xml:space="preserve">254</w:t>
      </w:r>
      <w:r>
        <w:t xml:space="preserve"> </w:t>
      </w:r>
      <w:r>
        <w:t xml:space="preserve">(specific ultraviolet absorbance)</w:t>
      </w:r>
      <w:bookmarkEnd w:id="53"/>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w:t>
      </w:r>
      <w:r>
        <w:t xml:space="preserve">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Heading6"/>
      </w:pPr>
      <w:bookmarkStart w:id="54"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4"/>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Heading5"/>
      </w:pPr>
      <w:bookmarkStart w:id="55" w:name="weather-in-the-leech-watershed"/>
      <w:r>
        <w:t xml:space="preserve">Weather in the Leech watershed</w:t>
      </w:r>
      <w:bookmarkEnd w:id="55"/>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located in the headwaters of the Leech watershed and Martin’s Gulch was located near the future point of diversion, the Leech River Tunnel (Table</w:t>
      </w:r>
      <w:r>
        <w:t xml:space="preserve"> </w:t>
      </w:r>
      <w:r>
        <w:t xml:space="preserve">2</w:t>
      </w:r>
      <w:r>
        <w:t xml:space="preserve"> </w:t>
      </w:r>
      <w:r>
        <w:t xml:space="preserve">&amp; Figure 1, Chapter 1). Data from January 2018 to March 2020 were provided and were used in defining sampling seasons and in quality control assessments of vertical rack samples.</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delineating seasons.</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1.92</w:t>
            </w:r>
          </w:p>
        </w:tc>
        <w:tc>
          <w:p>
            <w:pPr>
              <w:pStyle w:val="Compact"/>
              <w:jc w:val="right"/>
            </w:pPr>
            <w:r>
              <w:t xml:space="preserve">0.55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0.79</w:t>
            </w:r>
          </w:p>
        </w:tc>
        <w:tc>
          <w:p>
            <w:pPr>
              <w:pStyle w:val="Compact"/>
              <w:jc w:val="right"/>
            </w:pPr>
            <w:r>
              <w:t xml:space="preserve">0.71</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1.92</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5504749"/>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Heading6"/>
      </w:pPr>
      <w:bookmarkStart w:id="57" w:name="defining-seasons"/>
      <w:r>
        <w:t xml:space="preserve">Defining seasons</w:t>
      </w:r>
      <w:bookmarkEnd w:id="57"/>
    </w:p>
    <w:p>
      <w:pPr>
        <w:pStyle w:val="FirstParagraph"/>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BodyText"/>
      </w:pPr>
      <w:r>
        <w:t xml:space="preserve"> </w:t>
      </w:r>
    </w:p>
    <w:p>
      <w:pPr>
        <w:pStyle w:val="Heading3"/>
      </w:pPr>
      <w:bookmarkStart w:id="58" w:name="results"/>
      <w:r>
        <w:t xml:space="preserve">Results</w:t>
      </w:r>
      <w:bookmarkEnd w:id="58"/>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UV-Vis data were reduced by 19.5% (to 256 samples): quality control resulted in a 9% reduction, with the additional 10.5% data loss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9" w:name="vertical-rack-sampling-quality-control"/>
      <w:r>
        <w:t xml:space="preserve">Vertical rack sampling quality control</w:t>
      </w:r>
      <w:bookmarkEnd w:id="59"/>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0"/>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1"/>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hold-time sample sets</w:t>
      </w:r>
    </w:p>
    <w:tbl>
      <w:tblPr>
        <w:tblStyle w:val="Table"/>
        <w:tblW w:type="pct" w:w="4999.999999999999"/>
        <w:tblLook w:firstRow="1"/>
        <w:tblCaption w:val="Table 5: Results comparing hold-time sampl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UV</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pPr>
        <w:pStyle w:val="BodyText"/>
      </w:pPr>
      <w:r>
        <w:t xml:space="preserve"> </w:t>
      </w:r>
    </w:p>
    <w:p>
      <w:pPr>
        <w:pStyle w:val="BodyText"/>
      </w:pPr>
      <w:r>
        <w:t xml:space="preserve">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w:t>
      </w:r>
    </w:p>
    <w:p>
      <w:pPr>
        <w:pStyle w:val="BodyText"/>
      </w:pPr>
      <w:r>
        <w:t xml:space="preserve"> </w:t>
      </w:r>
    </w:p>
    <w:p>
      <w:pPr>
        <w:pStyle w:val="BodyText"/>
      </w:pPr>
      <w:r>
        <w:t xml:space="preserve">Temperatures at each monitoring site were measured and recorded with Hobo TidbiT loggers from 2019-08-24 to 2020-02-18 (field study end), and temperatures prior to TidbiT deployment were estimated by linear regression (Appendix ###). QA/QC flags were used to filter sample data, reducing the effective number of samples included in results by less than 10% (Table</w:t>
      </w:r>
      <w:r>
        <w:t xml:space="preserve"> </w:t>
      </w:r>
      <w:r>
        <w:t xml:space="preserve">4</w:t>
      </w:r>
      <w:r>
        <w:t xml:space="preserve">).</w:t>
      </w:r>
    </w:p>
    <w:p>
      <w:pPr>
        <w:pStyle w:val="Heading4"/>
      </w:pPr>
      <w:bookmarkStart w:id="62" w:name="seasonal-delineation"/>
      <w:r>
        <w:t xml:space="preserve">Seasonal delineation</w:t>
      </w:r>
      <w:bookmarkEnd w:id="62"/>
    </w:p>
    <w:p>
      <w:pPr>
        <w:pStyle w:val="FirstParagraph"/>
      </w:pPr>
      <w:r>
        <w:t xml:space="preserve">Wet seasons were defined by conditions that generated significant stream responses and rack sample collection, and the dry season was defined by baseflow conditions where precipitation did not generate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330439"/>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3"/>
                    <a:stretch>
                      <a:fillRect/>
                    </a:stretch>
                  </pic:blipFill>
                  <pic:spPr bwMode="auto">
                    <a:xfrm>
                      <a:off x="0" y="0"/>
                      <a:ext cx="5943600" cy="7330439"/>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Heading4"/>
      </w:pPr>
      <w:bookmarkStart w:id="64" w:name="spatial-patterns-in-doc-nom"/>
      <w:r>
        <w:t xml:space="preserve">Spatial patterns in DOC &amp; NOM</w:t>
      </w:r>
      <w:bookmarkEnd w:id="64"/>
    </w:p>
    <w:p>
      <w:pPr>
        <w:pStyle w:val="FirstParagraph"/>
      </w:pPr>
      <w:r>
        <w:t xml:space="preserve">Twelve river sites across the Leech and Sooke water supply areas (Figure</w:t>
      </w:r>
      <w:r>
        <w:t xml:space="preserve"> </w:t>
      </w:r>
      <w:r>
        <w:t xml:space="preserve">2</w:t>
      </w:r>
      <w:r>
        <w:t xml:space="preserve">) were sampled synoptically for quantification of DOC and assessment of NOM. Several comparisons can be made among these sites; presented here are comparisons of cross-basin (from LWSA to SWSA), upstream to downstream, nested catchments and sampling methods.</w:t>
      </w:r>
    </w:p>
    <w:p>
      <w:pPr>
        <w:pStyle w:val="BodyText"/>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6</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6:</w:t>
      </w:r>
      <w:r>
        <w:t xml:space="preserve"> </w:t>
      </w:r>
      <w:r>
        <w:rPr>
          <w:i/>
        </w:rPr>
        <w:t xml:space="preserve">Dissolved organic carbon concentrations across twelve synoptically sampled river sites</w:t>
      </w:r>
    </w:p>
    <w:tbl>
      <w:tblPr>
        <w:tblStyle w:val="Table"/>
        <w:tblW w:type="pct" w:w="5000.0"/>
        <w:tblLook w:firstRow="1"/>
        <w:tblCaption w:val="Table 6: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over 16 months." title="" id="1" name="Picture"/>
            <a:graphic>
              <a:graphicData uri="http://schemas.openxmlformats.org/drawingml/2006/picture">
                <pic:pic>
                  <pic:nvPicPr>
                    <pic:cNvPr descr="R-outputs_UBC-forWater-MSc_HMc/figures/Ch1_boxplot_allParams-allSites-allSamples.png" id="0" name="Picture"/>
                    <pic:cNvPicPr>
                      <a:picLocks noChangeArrowheads="1" noChangeAspect="1"/>
                    </pic:cNvPicPr>
                  </pic:nvPicPr>
                  <pic:blipFill>
                    <a:blip r:embed="rId65"/>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Synoptic sampling results of dissolved organic carbon concentrations from 12 sites over 16 months.</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w:t>
      </w:r>
    </w:p>
    <w:p>
      <w:pPr>
        <w:pStyle w:val="BodyText"/>
      </w:pPr>
      <w:r>
        <w:t xml:space="preserve">Similarly, 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 With respect to evaluating sampling methods among nested catchments of the Leech watershed, three comparisons were made to asses whether including a Rack sampler at a site downstream of a confluence captured the same range in DOC concentrations as synoptic grab sampling at the upstream sites (Figure</w:t>
      </w:r>
      <w:r>
        <w:t xml:space="preserve"> </w:t>
      </w:r>
      <w:r>
        <w:t xml:space="preserve">9</w:t>
      </w:r>
      <w:r>
        <w:t xml:space="preserve">).</w:t>
      </w:r>
      <w:r>
        <w:t xml:space="preserve"> </w:t>
      </w:r>
      <w:r>
        <w:t xml:space="preserve"> </w:t>
      </w:r>
    </w:p>
    <w:p>
      <w:pPr>
        <w:pStyle w:val="BodyText"/>
      </w:pPr>
      <w:r>
        <w:drawing>
          <wp:inline>
            <wp:extent cx="5504749" cy="5504749"/>
            <wp:effectExtent b="0" l="0" r="0" t="0"/>
            <wp:docPr descr="Figure 9:  Comparison of results from synoptic grab sampling at upstream locations to results from both vertical rack and grab sampling below the confluence of upstream sites. Plots A and B show grab samples from headwater (HW) locations compared to downstream (DS) monitoring sites, and plot C shows upstream river sites (US) compared to the mainstem monitoring site located downstream (DS)." title="" id="1" name="Picture"/>
            <a:graphic>
              <a:graphicData uri="http://schemas.openxmlformats.org/drawingml/2006/picture">
                <pic:pic>
                  <pic:nvPicPr>
                    <pic:cNvPr descr="R-outputs_UBC-forWater-MSc_HMc/figures/Ch1_DOC-boxplot_up-down_metcompar.png" id="0" name="Picture"/>
                    <pic:cNvPicPr>
                      <a:picLocks noChangeArrowheads="1" noChangeAspect="1"/>
                    </pic:cNvPicPr>
                  </pic:nvPicPr>
                  <pic:blipFill>
                    <a:blip r:embed="rId66"/>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Synoptic Grab samples from the headwater sites of Weeks and Chris Creeks were compared to all samples (Rack and Grab) from below their confluence at LeechHead site (Figure</w:t>
      </w:r>
      <w:r>
        <w:t xml:space="preserve"> </w:t>
      </w:r>
      <w:r>
        <w:t xml:space="preserve">9</w:t>
      </w:r>
      <w:r>
        <w:t xml:space="preserve">, plot A). Similarly, Grab samples collected at the headwater of Cragg Creek, Jarvis and Lazar creeks, were compared to all samples at the CraggCrk monitoring site (Figure</w:t>
      </w:r>
      <w:r>
        <w:t xml:space="preserve"> </w:t>
      </w:r>
      <w:r>
        <w:t xml:space="preserve">9</w:t>
      </w:r>
      <w:r>
        <w:t xml:space="preserve">, plot B). In these comparisons, the range in DOC observed in grab samples alone at the upstream sites was not obtained by combining Rack and Grab samples below their confluences. However, when higher order rivers were examined by a similar comparison, the combination of Rack and Grab samples at the Leech Tunnel mainstem site did capture the DOC range observed in Grab samples alone at the three sites upstream (Figure</w:t>
      </w:r>
      <w:r>
        <w:t xml:space="preserve"> </w:t>
      </w:r>
      <w:r>
        <w:t xml:space="preserve">9</w:t>
      </w:r>
      <w:r>
        <w:t xml:space="preserve">, plot C).</w:t>
      </w:r>
    </w:p>
    <w:p>
      <w:pPr>
        <w:pStyle w:val="Heading4"/>
      </w:pPr>
      <w:bookmarkStart w:id="67" w:name="temporal-patterns-in-doc-nom"/>
      <w:r>
        <w:t xml:space="preserve">Temporal patterns in DOC &amp; NOM</w:t>
      </w:r>
      <w:bookmarkEnd w:id="67"/>
    </w:p>
    <w:p>
      <w:pPr>
        <w:pStyle w:val="FirstParagraph"/>
      </w:pPr>
      <w:r>
        <w:t xml:space="preserve">Over sixteen months DOC concentrations followed similar trends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again over the summer.</w:t>
      </w:r>
    </w:p>
    <w:p>
      <w:pPr>
        <w:pStyle w:val="BodyText"/>
      </w:pPr>
      <w:r>
        <w:t xml:space="preserve"> </w:t>
      </w:r>
    </w:p>
    <w:p>
      <w:pPr>
        <w:pStyle w:val="CaptionedFigure"/>
      </w:pPr>
      <w:r>
        <w:drawing>
          <wp:inline>
            <wp:extent cx="3669832"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6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there was almost no difference between the mean DOC concentration in each season (Table</w:t>
      </w:r>
      <w:r>
        <w:t xml:space="preserve"> </w:t>
      </w:r>
      <w:r>
        <w:t xml:space="preserve">7</w:t>
      </w:r>
      <w:r>
        <w:t xml:space="preserve">). However, there were far fewer samples collected in the dry season than during the wet season.</w:t>
      </w:r>
    </w:p>
    <w:p>
      <w:pPr>
        <w:pStyle w:val="BodyText"/>
      </w:pPr>
      <w:r>
        <w:t xml:space="preserve"> </w:t>
      </w:r>
    </w:p>
    <w:p>
      <w:pPr>
        <w:pStyle w:val="TableCaption"/>
      </w:pPr>
      <w:r>
        <w:t xml:space="preserve">Table 7:</w:t>
      </w:r>
      <w:r>
        <w:t xml:space="preserve"> </w:t>
      </w:r>
      <w:r>
        <w:rPr>
          <w:i/>
        </w:rPr>
        <w:t xml:space="preserve">Seasonal sample collection and DOC summary from tweleve synoptic sampling sites</w:t>
      </w:r>
    </w:p>
    <w:tbl>
      <w:tblPr>
        <w:tblStyle w:val="Table"/>
        <w:tblW w:type="pct" w:w="0.0"/>
        <w:tblLook w:firstRow="1"/>
        <w:tblCaption w:val="Table 7: Seasonal sample collection and DOC summary from tweleve synoptic sampling sites"/>
      </w:tblPr>
      <w:tblGrid/>
      <w:tr>
        <w:trPr>
          <w:cnfStyle w:firstRow="1"/>
        </w:trPr>
        <w:tc>
          <w:tcPr>
            <w:tcBorders>
              <w:bottom w:val="single"/>
            </w:tcBorders>
            <w:vAlign w:val="bottom"/>
          </w:tcPr>
          <w:p>
            <w:pPr>
              <w:pStyle w:val="Compact"/>
              <w:jc w:val="left"/>
            </w:pPr>
            <w:r>
              <w:t xml:space="preserve">rain_season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Isolating DOC results within the six monitoring sites and narrowing the sampling window to only the wet season, vertical rack sampling methods did capture higher DOC concentrations than synoptic grab sampling alone (Figure @ref:wetSeasonDOC, Table</w:t>
      </w:r>
      <w:r>
        <w:t xml:space="preserve"> </w:t>
      </w:r>
      <w:r>
        <w:t xml:space="preserve">8</w:t>
      </w:r>
      <w:r>
        <w:t xml:space="preserve">).</w:t>
      </w:r>
    </w:p>
    <w:p>
      <w:pPr>
        <w:pStyle w:val="CaptionedFigure"/>
      </w:pPr>
      <w:r>
        <w:drawing>
          <wp:inline>
            <wp:extent cx="4587290" cy="3669832"/>
            <wp:effectExtent b="0" l="0" r="0" t="0"/>
            <wp:docPr descr="Figure 11:  DOC from each monitoring site split by collection method."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6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split by collection method.</w:t>
      </w:r>
    </w:p>
    <w:p>
      <w:pPr>
        <w:pStyle w:val="TableCaption"/>
      </w:pPr>
      <w:r>
        <w:t xml:space="preserve">Table 8:</w:t>
      </w:r>
      <w:r>
        <w:t xml:space="preserve"> </w:t>
      </w:r>
      <w:r>
        <w:rPr>
          <w:i/>
        </w:rPr>
        <w:t xml:space="preserve">DOC summary by sample collection method during the wet season at the six monitoring sites</w:t>
      </w:r>
    </w:p>
    <w:tbl>
      <w:tblPr>
        <w:tblStyle w:val="Table"/>
        <w:tblW w:type="pct" w:w="0.0"/>
        <w:tblLook w:firstRow="1"/>
        <w:tblCaption w:val="Table 8: DOC summary by sample collection method during the wet season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Heading5"/>
      </w:pPr>
      <w:bookmarkStart w:id="70" w:name="seasonal-changes-in-nom-character"/>
      <w:r>
        <w:t xml:space="preserve">Seasonal changes in NOM character</w:t>
      </w:r>
      <w:bookmarkEnd w:id="70"/>
    </w:p>
    <w:p>
      <w:pPr>
        <w:pStyle w:val="FirstParagraph"/>
      </w:pPr>
      <w:r>
        <w:t xml:space="preserve">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(Figure</w:t>
      </w:r>
      <w:r>
        <w:t xml:space="preserve"> </w:t>
      </w:r>
      <w:r>
        <w:t xml:space="preserve">12</w:t>
      </w:r>
      <w:r>
        <w:t xml:space="preserve">).</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CDOM_seasonal_with-Inset.png" id="0"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The dashed lined indicates best fit (1:1), and the inset shows the relationship between NPOC and SAC at 254 nm, a key absorbance that informs the UV-estimated DOC concentration.</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pPr>
        <w:pStyle w:val="BodyText"/>
      </w:pPr>
      <w:r>
        <w:t xml:space="preserve"> </w:t>
      </w:r>
    </w:p>
    <w:p>
      <w:pPr>
        <w:pStyle w:val="BodyText"/>
      </w:pPr>
      <w:r>
        <w:t xml:space="preserve">The concentration of NOM in a sample is (like aromaticity)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(relative to the concentration). Seasonally grouped DOC and SUVA</w:t>
      </w:r>
      <w:r>
        <w:rPr>
          <w:vertAlign w:val="subscript"/>
        </w:rPr>
        <w:t xml:space="preserve">254</w:t>
      </w:r>
      <w:r>
        <w:t xml:space="preserve"> </w:t>
      </w:r>
      <w:r>
        <w:t xml:space="preserve">(Figure</w:t>
      </w:r>
      <w:r>
        <w:t xml:space="preserve"> </w:t>
      </w:r>
      <w:r>
        <w:t xml:space="preserve">13</w:t>
      </w:r>
      <w:r>
        <w:t xml:space="preserve">),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3:  Dissolved organic carbon plotted against specific UV absorbance at 254 nm,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2"/>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plotted against specific UV absorbance at 254 nm, showing greater aromaticity (more humic-like organic matter) in wet season samples.</w:t>
      </w:r>
    </w:p>
    <w:p>
      <w:pPr>
        <w:pStyle w:val="Heading3"/>
      </w:pPr>
      <w:bookmarkStart w:id="73" w:name="discussion"/>
      <w:r>
        <w:t xml:space="preserve">Discussion</w:t>
      </w:r>
      <w:bookmarkEnd w:id="73"/>
    </w:p>
    <w:p>
      <w:pPr>
        <w:pStyle w:val="FirstParagraph"/>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Heading3"/>
      </w:pPr>
      <w:bookmarkStart w:id="74" w:name="conclusions-and-future-directions"/>
      <w:r>
        <w:t xml:space="preserve">Conclusions and future directions</w:t>
      </w:r>
      <w:bookmarkEnd w:id="74"/>
    </w:p>
    <w:p>
      <w:pPr>
        <w:pStyle w:val="FirstParagraph"/>
      </w:pPr>
      <w:r>
        <w:t xml:space="preserve">describe observed spatiotemporal patterns in DOC concentration and NOM character.</w:t>
      </w:r>
    </w:p>
    <w:p>
      <w:pPr>
        <w:pStyle w:val="Heading2"/>
      </w:pPr>
      <w:bookmarkStart w:id="75" w:name="X93f69a1174d562a62e4bfffe2458aa66c4342a7"/>
      <w:r>
        <w:t xml:space="preserve">Hydrochemical dynamics: river, DOC &amp; NOM event responses</w:t>
      </w:r>
      <w:bookmarkEnd w:id="75"/>
    </w:p>
    <w:p>
      <w:pPr>
        <w:pStyle w:val="Heading3"/>
      </w:pPr>
      <w:bookmarkStart w:id="76" w:name="introduction"/>
      <w:r>
        <w:t xml:space="preserve">Introduction</w:t>
      </w:r>
      <w:bookmarkEnd w:id="76"/>
    </w:p>
    <w:p>
      <w:pPr>
        <w:pStyle w:val="FirstParagraph"/>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Heading4"/>
      </w:pPr>
      <w:bookmarkStart w:id="77" w:name="watershed-processes-and-water-quality"/>
      <w:r>
        <w:t xml:space="preserve">Watershed processes and water quality</w:t>
      </w:r>
      <w:bookmarkEnd w:id="77"/>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the landscape and fluvial systems, with runoff introducing terrestrial compounds into aquatic systems. Because NOM is a complicated medley of molecules it can be challenging to measure, but measuring organic carbon (the backbone of NOM) is standard and thus quantified as a surrogate for NOM.</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5"/>
      </w:pPr>
      <w:bookmarkStart w:id="78" w:name="event-based-sampling"/>
      <w:r>
        <w:t xml:space="preserve">Event based sampling</w:t>
      </w:r>
      <w:bookmarkEnd w:id="78"/>
    </w:p>
    <w:p>
      <w:pPr>
        <w:pStyle w:val="FirstParagraph"/>
      </w:pPr>
      <w:r>
        <w:t xml:space="preserve">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which provides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rPr>
          <w:i/>
          <w:b/>
        </w:rPr>
        <w:t xml:space="preserve">… add more on sampling…</w:t>
      </w:r>
    </w:p>
    <w:p>
      <w:pPr>
        <w:pStyle w:val="Heading3"/>
      </w:pPr>
      <w:bookmarkStart w:id="79" w:name="methods"/>
      <w:r>
        <w:t xml:space="preserve">Methods</w:t>
      </w:r>
      <w:bookmarkEnd w:id="79"/>
    </w:p>
    <w:p>
      <w:pPr>
        <w:pStyle w:val="Heading4"/>
      </w:pPr>
      <w:bookmarkStart w:id="80" w:name="leech-river-watershed"/>
      <w:r>
        <w:t xml:space="preserve">Leech River Watershed</w:t>
      </w:r>
      <w:bookmarkEnd w:id="80"/>
    </w:p>
    <w:p>
      <w:pPr>
        <w:pStyle w:val="FirstParagraph"/>
      </w:pPr>
      <w:r>
        <w:t xml:space="preserve">The Leech River watershed and Sooke water supply area are in the Coastal Western Hemlock biogeoclimatic zone (CWH), with forests NOMinated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falls as rain (i.e., pluvial hydroclimatic regime)</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81" w:name="X5fb2cedbae057dbd635e04fcb01269139a5122f"/>
      <w:r>
        <w:t xml:space="preserve">Monitoring sites and sub-basin characteristics</w:t>
      </w:r>
      <w:bookmarkEnd w:id="81"/>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Nested catchments of the Leech River system included two headwater streams (Weeks and Chris Creek, sites 1 &amp; 2), the head of Leech River below the confluence of the two headwater streams (site 3), two mainstem rivers that feed the Leech (Cragg Creek and West Leech, sites 4 &amp; 5) and the entire LWSA drainage area above the point of diversion, Leech Tunnel (Site 6).</w:t>
      </w:r>
    </w:p>
    <w:p>
      <w:pPr>
        <w:pStyle w:val="BodyText"/>
      </w:pPr>
      <w:r>
        <w:t xml:space="preserve"> </w:t>
      </w:r>
    </w:p>
    <w:p>
      <w:pPr>
        <w:pStyle w:val="CaptionedFigure"/>
      </w:pPr>
      <w:r>
        <w:drawing>
          <wp:inline>
            <wp:extent cx="5943600" cy="5976414"/>
            <wp:effectExtent b="0" l="0" r="0" t="0"/>
            <wp:docPr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9</w:t>
      </w:r>
      <w:r>
        <w:t xml:space="preserve">). Chris Creek (site 2) and Cragg Creek (site 4) had no metasedimentary parent material (Argillite-Metagraywacke or Metagraywacke). Cragg Creek, draining from the east, was the only sub-basin with preNOMinantly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preNOMinantly underlain by Argillite-Metagreywacke (metasedimentary parent material).</w:t>
      </w:r>
    </w:p>
    <w:p>
      <w:pPr>
        <w:pStyle w:val="BodyText"/>
      </w:pPr>
      <w:r>
        <w:t xml:space="preserve"> </w:t>
      </w:r>
    </w:p>
    <w:p>
      <w:pPr>
        <w:pStyle w:val="TableCaption"/>
      </w:pPr>
      <w:r>
        <w:t xml:space="preserve">Table 9:</w:t>
      </w:r>
      <w:r>
        <w:t xml:space="preserve"> </w:t>
      </w:r>
      <w:r>
        <w:rPr>
          <w:i/>
        </w:rPr>
        <w:t xml:space="preserve">Watershed characteristics summary for study sites</w:t>
      </w:r>
    </w:p>
    <w:tbl>
      <w:tblPr>
        <w:tblStyle w:val="Table"/>
        <w:tblW w:type="pct" w:w="5000.0"/>
        <w:tblLook w:firstRow="1"/>
        <w:tblCaption w:val="Table 9: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tease-out insights about relative hydrologic pulse responses across nested catchments.</w:t>
      </w:r>
    </w:p>
    <w:p>
      <w:pPr>
        <w:pStyle w:val="Heading4"/>
      </w:pPr>
      <w:bookmarkStart w:id="83" w:name="sample-analysis"/>
      <w:r>
        <w:t xml:space="preserve">Sample analysis</w:t>
      </w:r>
      <w:bookmarkEnd w:id="83"/>
    </w:p>
    <w:p>
      <w:pPr>
        <w:pStyle w:val="FirstParagraph"/>
      </w:pPr>
      <w:r>
        <w:t xml:space="preserve">Water samples were collected in acid-wached 250mL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Heading4"/>
      </w:pPr>
      <w:bookmarkStart w:id="84" w:name="defining-events"/>
      <w:r>
        <w:t xml:space="preserve">Defining events</w:t>
      </w:r>
      <w:bookmarkEnd w:id="84"/>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Heading3"/>
      </w:pPr>
      <w:bookmarkStart w:id="85" w:name="results"/>
      <w:r>
        <w:t xml:space="preserve">Results</w:t>
      </w:r>
      <w:bookmarkEnd w:id="85"/>
    </w:p>
    <w:p>
      <w:pPr>
        <w:pStyle w:val="Heading4"/>
      </w:pPr>
      <w:bookmarkStart w:id="86" w:name="rain-events"/>
      <w:r>
        <w:t xml:space="preserve">Rain events</w:t>
      </w:r>
      <w:bookmarkEnd w:id="86"/>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events that were classified as major events that corresponded to sample collection by the vertical racks (i.e., events large enough to trigger substantial river responses). Major rain events were defined by precipitation accumulating to 50mm or more, where the events were separated from each other by a period of 14 hours or longer (Table</w:t>
      </w:r>
      <w:r>
        <w:t xml:space="preserve"> </w:t>
      </w:r>
      <w:r>
        <w:t xml:space="preserve">10</w:t>
      </w:r>
      <w:r>
        <w:t xml:space="preserve">).</w:t>
      </w:r>
    </w:p>
    <w:p>
      <w:pPr>
        <w:pStyle w:val="BodyText"/>
      </w:pPr>
      <w:r>
        <w:t xml:space="preserve"> </w:t>
      </w:r>
    </w:p>
    <w:p>
      <w:pPr>
        <w:pStyle w:val="TableCaption"/>
      </w:pPr>
      <w:r>
        <w:t xml:space="preserve">Table 10:</w:t>
      </w:r>
      <w:r>
        <w:t xml:space="preserve"> </w:t>
      </w:r>
      <w:r>
        <w:rPr>
          <w:i/>
        </w:rPr>
        <w:t xml:space="preserve">Rain events defined by a threshold of 50mm with 14-hour inter-event period</w:t>
      </w:r>
    </w:p>
    <w:tbl>
      <w:tblPr>
        <w:tblStyle w:val="Table"/>
        <w:tblW w:type="pct" w:w="5000.0"/>
        <w:tblLook w:firstRow="1"/>
        <w:tblCaption w:val="Table 10: Rain events defined by a threshold of 50mm with 14-hour inter-event period"/>
      </w:tblPr>
      <w:tblGrid>
        <w:gridCol w:w="967"/>
        <w:gridCol w:w="665"/>
        <w:gridCol w:w="967"/>
        <w:gridCol w:w="846"/>
        <w:gridCol w:w="1088"/>
        <w:gridCol w:w="1088"/>
        <w:gridCol w:w="967"/>
        <w:gridCol w:w="725"/>
        <w:gridCol w:w="604"/>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SAC254</w:t>
            </w:r>
          </w:p>
        </w:tc>
        <w:tc>
          <w:tcPr>
            <w:tcBorders>
              <w:bottom w:val="single"/>
            </w:tcBorders>
            <w:vAlign w:val="bottom"/>
          </w:tcPr>
          <w:p>
            <w:pPr>
              <w:pStyle w:val="Compact"/>
              <w:jc w:val="right"/>
            </w:pPr>
            <w:r>
              <w:t xml:space="preserve">mean SUVA</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c>
          <w:p>
            <w:pPr>
              <w:pStyle w:val="Compact"/>
              <w:jc w:val="right"/>
            </w:pPr>
            <w:r>
              <w:t xml:space="preserve">19</w:t>
            </w:r>
          </w:p>
        </w:tc>
        <w:tc>
          <w:p>
            <w:pPr>
              <w:pStyle w:val="Compact"/>
              <w:jc w:val="right"/>
            </w:pPr>
            <w:r>
              <w:t xml:space="preserve">9.09</w:t>
            </w:r>
          </w:p>
        </w:tc>
        <w:tc>
          <w:p/>
        </w:tc>
        <w:tc>
          <w:p>
            <w:pPr>
              <w:pStyle w:val="Compact"/>
              <w:jc w:val="right"/>
            </w:pPr>
            <w:r>
              <w:t xml:space="preserve">3.24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c>
          <w:p>
            <w:pPr>
              <w:pStyle w:val="Compact"/>
              <w:jc w:val="right"/>
            </w:pPr>
            <w:r>
              <w:t xml:space="preserve">18</w:t>
            </w:r>
          </w:p>
        </w:tc>
        <w:tc>
          <w:p>
            <w:pPr>
              <w:pStyle w:val="Compact"/>
              <w:jc w:val="right"/>
            </w:pPr>
            <w:r>
              <w:t xml:space="preserve">6.40</w:t>
            </w:r>
          </w:p>
        </w:tc>
        <w:tc>
          <w:p/>
        </w:tc>
        <w:tc>
          <w:p>
            <w:pPr>
              <w:pStyle w:val="Compact"/>
              <w:jc w:val="right"/>
            </w:pPr>
            <w:r>
              <w:t xml:space="preserve">4.30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c>
          <w:p>
            <w:pPr>
              <w:pStyle w:val="Compact"/>
              <w:jc w:val="right"/>
            </w:pPr>
            <w:r>
              <w:t xml:space="preserve">34</w:t>
            </w:r>
          </w:p>
        </w:tc>
        <w:tc>
          <w:p>
            <w:pPr>
              <w:pStyle w:val="Compact"/>
              <w:jc w:val="right"/>
            </w:pPr>
            <w:r>
              <w:t xml:space="preserve">6.23</w:t>
            </w:r>
          </w:p>
        </w:tc>
        <w:tc>
          <w:p/>
        </w:tc>
        <w:tc>
          <w:p>
            <w:pPr>
              <w:pStyle w:val="Compact"/>
              <w:jc w:val="right"/>
            </w:pPr>
            <w:r>
              <w:t xml:space="preserve">4.68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r>
    </w:tbl>
    <w:p>
      <w:pPr>
        <w:pStyle w:val="BodyText"/>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87"/>
      </w:r>
      <w:r>
        <w:t xml:space="preserve"> </w:t>
      </w:r>
      <w:r>
        <w:t xml:space="preserve">Luckily, the level-loggers were found downstream in February and (after drying the circuit boards) the data were successfully retrieved from both Odyssey loggers. Figure</w:t>
      </w:r>
      <w:r>
        <w:t xml:space="preserve"> </w:t>
      </w:r>
      <w:r>
        <w:t xml:space="preserve">16</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11</w:t>
      </w:r>
      <w:r>
        <w:t xml:space="preserve">.</w:t>
      </w:r>
    </w:p>
    <w:p>
      <w:pPr>
        <w:pStyle w:val="BodyText"/>
      </w:pPr>
      <w:r>
        <w:t xml:space="preserve"> </w:t>
      </w:r>
    </w:p>
    <w:p>
      <w:pPr>
        <w:pStyle w:val="CaptionedFigure"/>
      </w:pPr>
      <w:r>
        <w:drawing>
          <wp:inline>
            <wp:extent cx="5504749" cy="8257123"/>
            <wp:effectExtent b="0" l="0" r="0" t="0"/>
            <wp:docPr descr="Figure 16: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88"/>
                    <a:stretch>
                      <a:fillRect/>
                    </a:stretch>
                  </pic:blipFill>
                  <pic:spPr bwMode="auto">
                    <a:xfrm>
                      <a:off x="0" y="0"/>
                      <a:ext cx="5504749" cy="8257123"/>
                    </a:xfrm>
                    <a:prstGeom prst="rect">
                      <a:avLst/>
                    </a:prstGeom>
                    <a:noFill/>
                    <a:ln w="9525">
                      <a:noFill/>
                      <a:headEnd/>
                      <a:tailEnd/>
                    </a:ln>
                  </pic:spPr>
                </pic:pic>
              </a:graphicData>
            </a:graphic>
          </wp:inline>
        </w:drawing>
      </w:r>
    </w:p>
    <w:p>
      <w:pPr>
        <w:pStyle w:val="ImageCaption"/>
      </w:pPr>
      <w:r>
        <w:t xml:space="preserve">Figure 16:</w:t>
      </w:r>
      <w:r>
        <w:t xml:space="preserve"> </w:t>
      </w:r>
      <w:r>
        <w:rPr>
          <w:i/>
        </w:rPr>
        <w:t xml:space="preserve">Plot of Precipitation, rain events (as vertical lines), stream rise and sample collection at six sites across the LWSA.</w:t>
      </w:r>
    </w:p>
    <w:p>
      <w:pPr>
        <w:pStyle w:val="BodyText"/>
      </w:pPr>
      <w:r>
        <w:t xml:space="preserve"> </w:t>
      </w:r>
    </w:p>
    <w:p>
      <w:pPr>
        <w:pStyle w:val="CaptionedFigure"/>
      </w:pPr>
      <w:r>
        <w:drawing>
          <wp:inline>
            <wp:extent cx="4587290" cy="7339665"/>
            <wp:effectExtent b="0" l="0" r="0" t="0"/>
            <wp:docPr descr="Figure 17: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89"/>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TableCaption"/>
      </w:pPr>
      <w:r>
        <w:t xml:space="preserve">Table 11:</w:t>
      </w:r>
      <w:r>
        <w:t xml:space="preserve"> </w:t>
      </w:r>
      <w:r>
        <w:rPr>
          <w:i/>
        </w:rPr>
        <w:t xml:space="preserve">Minimum and maximum rain event values</w:t>
      </w:r>
      <w:r>
        <w:rPr>
          <w:i/>
        </w:rPr>
        <w:t xml:space="preserve"> </w:t>
      </w:r>
    </w:p>
    <w:tbl>
      <w:tblPr>
        <w:tblStyle w:val="Table"/>
        <w:tblW w:type="pct" w:w="5000.0"/>
        <w:tblLook w:firstRow="1"/>
        <w:tblCaption w:val="Table 11: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90" w:name="spatial-patterns-in-doc-nom"/>
      <w:r>
        <w:t xml:space="preserve">Spatial patterns in DOC &amp; NOM</w:t>
      </w:r>
      <w:bookmarkEnd w:id="90"/>
    </w:p>
    <w:p>
      <w:pPr>
        <w:pStyle w:val="FirstParagraph"/>
      </w:pPr>
      <w:r>
        <w:t xml:space="preserve">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12</w:t>
      </w:r>
      <w:r>
        <w:t xml:space="preserve">).</w:t>
      </w:r>
    </w:p>
    <w:p>
      <w:pPr>
        <w:pStyle w:val="BodyText"/>
      </w:pPr>
      <w:r>
        <w:t xml:space="preserve"> </w:t>
      </w:r>
    </w:p>
    <w:p>
      <w:pPr>
        <w:pStyle w:val="TableCaption"/>
      </w:pPr>
      <w:r>
        <w:t xml:space="preserve">Table 12:</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2: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 (Figure</w:t>
      </w:r>
      <w:r>
        <w:t xml:space="preserve"> </w:t>
      </w:r>
      <w:r>
        <w:t xml:space="preserve">18</w:t>
      </w:r>
      <w:r>
        <w:t xml:space="preserve">).</w:t>
      </w:r>
    </w:p>
    <w:p>
      <w:pPr>
        <w:pStyle w:val="BodyText"/>
      </w:pPr>
      <w:r>
        <w:t xml:space="preserve"> </w:t>
      </w:r>
    </w:p>
    <w:p>
      <w:pPr>
        <w:pStyle w:val="CaptionedFigure"/>
      </w:pPr>
      <w:r>
        <w:drawing>
          <wp:inline>
            <wp:extent cx="4587290" cy="3669832"/>
            <wp:effectExtent b="0" l="0" r="0" t="0"/>
            <wp:docPr descr="Figure 18: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9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2" w:name="spatial-and-temporal-patterns-in-doc-nom"/>
      <w:r>
        <w:t xml:space="preserve">Spatial and temporal patterns in DOC &amp; NOM</w:t>
      </w:r>
      <w:bookmarkEnd w:id="92"/>
    </w:p>
    <w:p>
      <w:pPr>
        <w:pStyle w:val="CaptionedFigure"/>
      </w:pPr>
      <w:r>
        <w:drawing>
          <wp:inline>
            <wp:extent cx="5504749" cy="5504749"/>
            <wp:effectExtent b="0" l="0" r="0" t="0"/>
            <wp:docPr descr="Figure 19:  Trends in dissolved organic carbon concentrations over sixteen months (Oct 2018 to Feb 2020) at six sites across the Leech water supply area (n = 323: 153 grab samples, 170 vertical rack samples. Trend line represents locally weighted smoothing (loess,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pPr>
        <w:pStyle w:val="BodyText"/>
      </w:pPr>
      <w:r>
        <w:t xml:space="preserve">Figure</w:t>
      </w:r>
      <w:r>
        <w:t xml:space="preserve"> </w:t>
      </w:r>
      <w:r>
        <w:t xml:space="preserve">20</w:t>
      </w:r>
    </w:p>
    <w:p>
      <w:pPr>
        <w:pStyle w:val="CaptionedFigure"/>
      </w:pPr>
      <w:r>
        <w:drawing>
          <wp:inline>
            <wp:extent cx="4587290" cy="3669832"/>
            <wp:effectExtent b="0" l="0" r="0" t="0"/>
            <wp:docPr descr="Figure 20:  Contrasting DOC from samples collected across wet (n = 279) and dry (n = 39) seasons by both synoptic grab and vertical rack sampling" title="" id="1" name="Picture"/>
            <a:graphic>
              <a:graphicData uri="http://schemas.openxmlformats.org/drawingml/2006/picture">
                <pic:pic>
                  <pic:nvPicPr>
                    <pic:cNvPr descr="R-outputs_UBC-forWater-MSc_HMc/figures/CH3_DOC-seasonal-subbasin_boxplots.png" id="0" name="Picture"/>
                    <pic:cNvPicPr>
                      <a:picLocks noChangeArrowheads="1" noChangeAspect="1"/>
                    </pic:cNvPicPr>
                  </pic:nvPicPr>
                  <pic:blipFill>
                    <a:blip r:embed="rId9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Contrasting DOC from samples collected across wet (n = 279) and dry (n = 39) seasons by both synoptic grab and vertical rack sampling</w:t>
      </w:r>
    </w:p>
    <w:p>
      <w:pPr>
        <w:pStyle w:val="BodyText"/>
      </w:pPr>
      <w:r>
        <w:t xml:space="preserve">Table</w:t>
      </w:r>
      <w:r>
        <w:t xml:space="preserve"> </w:t>
      </w:r>
      <w:r>
        <w:t xml:space="preserve">13</w:t>
      </w:r>
    </w:p>
    <w:p>
      <w:pPr>
        <w:pStyle w:val="TableCaption"/>
      </w:pPr>
      <w:r>
        <w:t xml:space="preserve">Table 13:</w:t>
      </w:r>
      <w:r>
        <w:t xml:space="preserve"> </w:t>
      </w:r>
      <w:r>
        <w:rPr>
          <w:i/>
        </w:rPr>
        <w:t xml:space="preserve">Seasonal comparison of sample DOC results</w:t>
      </w:r>
    </w:p>
    <w:tbl>
      <w:tblPr>
        <w:tblStyle w:val="Table"/>
        <w:tblW w:type="pct" w:w="0.0"/>
        <w:tblLook w:firstRow="1"/>
        <w:tblCaption w:val="Table 13: Seasonal comparison of sample DOC results"/>
      </w:tblPr>
      <w:tblGrid/>
      <w:tr>
        <w:trPr>
          <w:cnfStyle w:firstRow="1"/>
        </w:trPr>
        <w:tc>
          <w:tcPr>
            <w:tcBorders>
              <w:bottom w:val="single"/>
            </w:tcBorders>
            <w:vAlign w:val="bottom"/>
          </w:tcPr>
          <w:p>
            <w:pPr>
              <w:pStyle w:val="Compact"/>
              <w:jc w:val="left"/>
            </w:pPr>
            <w:r>
              <w:t xml:space="preserve">rain_season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dry</w:t>
            </w:r>
          </w:p>
        </w:tc>
        <w:tc>
          <w:p>
            <w:pPr>
              <w:pStyle w:val="Compact"/>
              <w:jc w:val="right"/>
            </w:pPr>
            <w:r>
              <w:t xml:space="preserve">39</w:t>
            </w:r>
          </w:p>
        </w:tc>
        <w:tc>
          <w:p>
            <w:pPr>
              <w:pStyle w:val="Compact"/>
              <w:jc w:val="right"/>
            </w:pPr>
            <w:r>
              <w:t xml:space="preserve">5.47</w:t>
            </w:r>
          </w:p>
        </w:tc>
        <w:tc>
          <w:p>
            <w:pPr>
              <w:pStyle w:val="Compact"/>
              <w:jc w:val="right"/>
            </w:pPr>
            <w:r>
              <w:t xml:space="preserve">2.74</w:t>
            </w:r>
          </w:p>
        </w:tc>
        <w:tc>
          <w:p>
            <w:pPr>
              <w:pStyle w:val="Compact"/>
              <w:jc w:val="right"/>
            </w:pPr>
            <w:r>
              <w:t xml:space="preserve">50</w:t>
            </w:r>
          </w:p>
        </w:tc>
        <w:tc>
          <w:p>
            <w:pPr>
              <w:pStyle w:val="Compact"/>
              <w:jc w:val="right"/>
            </w:pPr>
            <w:r>
              <w:t xml:space="preserve">1.65</w:t>
            </w:r>
          </w:p>
        </w:tc>
        <w:tc>
          <w:p>
            <w:pPr>
              <w:pStyle w:val="Compact"/>
              <w:jc w:val="right"/>
            </w:pPr>
            <w:r>
              <w:t xml:space="preserve">5.97</w:t>
            </w:r>
          </w:p>
        </w:tc>
        <w:tc>
          <w:p>
            <w:pPr>
              <w:pStyle w:val="Compact"/>
              <w:jc w:val="right"/>
            </w:pPr>
            <w:r>
              <w:t xml:space="preserve">12.8</w:t>
            </w:r>
          </w:p>
        </w:tc>
      </w:tr>
      <w:tr>
        <w:tc>
          <w:p>
            <w:pPr>
              <w:pStyle w:val="Compact"/>
              <w:jc w:val="left"/>
            </w:pPr>
            <w:r>
              <w:t xml:space="preserve">wet</w:t>
            </w:r>
          </w:p>
        </w:tc>
        <w:tc>
          <w:p>
            <w:pPr>
              <w:pStyle w:val="Compact"/>
              <w:jc w:val="right"/>
            </w:pPr>
            <w:r>
              <w:t xml:space="preserve">279</w:t>
            </w:r>
          </w:p>
        </w:tc>
        <w:tc>
          <w:p>
            <w:pPr>
              <w:pStyle w:val="Compact"/>
              <w:jc w:val="right"/>
            </w:pPr>
            <w:r>
              <w:t xml:space="preserve">6.17</w:t>
            </w:r>
          </w:p>
        </w:tc>
        <w:tc>
          <w:p>
            <w:pPr>
              <w:pStyle w:val="Compact"/>
              <w:jc w:val="right"/>
            </w:pPr>
            <w:r>
              <w:t xml:space="preserve">2.88</w:t>
            </w:r>
          </w:p>
        </w:tc>
        <w:tc>
          <w:p>
            <w:pPr>
              <w:pStyle w:val="Compact"/>
              <w:jc w:val="right"/>
            </w:pPr>
            <w:r>
              <w:t xml:space="preserve">47</w:t>
            </w:r>
          </w:p>
        </w:tc>
        <w:tc>
          <w:p>
            <w:pPr>
              <w:pStyle w:val="Compact"/>
              <w:jc w:val="right"/>
            </w:pPr>
            <w:r>
              <w:t xml:space="preserve">1.84</w:t>
            </w:r>
          </w:p>
        </w:tc>
        <w:tc>
          <w:p>
            <w:pPr>
              <w:pStyle w:val="Compact"/>
              <w:jc w:val="right"/>
            </w:pPr>
            <w:r>
              <w:t xml:space="preserve">5.64</w:t>
            </w:r>
          </w:p>
        </w:tc>
        <w:tc>
          <w:p>
            <w:pPr>
              <w:pStyle w:val="Compact"/>
              <w:jc w:val="right"/>
            </w:pPr>
            <w:r>
              <w:t xml:space="preserve">19.1</w:t>
            </w:r>
          </w:p>
        </w:tc>
      </w:tr>
      <w:tr>
        <w:tc>
          <w:p>
            <w:pPr>
              <w:pStyle w:val="Compact"/>
              <w:jc w:val="left"/>
            </w:pPr>
            <w:r>
              <w:t xml:space="preserve">All</w:t>
            </w:r>
          </w:p>
        </w:tc>
        <w:tc>
          <w:p>
            <w:pPr>
              <w:pStyle w:val="Compact"/>
              <w:jc w:val="right"/>
            </w:pPr>
            <w:r>
              <w:t xml:space="preserve">318</w:t>
            </w:r>
          </w:p>
        </w:tc>
        <w:tc>
          <w:p>
            <w:pPr>
              <w:pStyle w:val="Compact"/>
              <w:jc w:val="right"/>
            </w:pPr>
            <w:r>
              <w:t xml:space="preserve">6.09</w:t>
            </w:r>
          </w:p>
        </w:tc>
        <w:tc>
          <w:p>
            <w:pPr>
              <w:pStyle w:val="Compact"/>
              <w:jc w:val="right"/>
            </w:pPr>
            <w:r>
              <w:t xml:space="preserve">2.87</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19.1</w:t>
            </w:r>
          </w:p>
        </w:tc>
      </w:tr>
    </w:tbl>
    <w:p>
      <w:pPr>
        <w:pStyle w:val="Heading4"/>
      </w:pPr>
      <w:bookmarkStart w:id="95" w:name="river-response-in-relation-to-doc-nom"/>
      <w:r>
        <w:t xml:space="preserve">River response in relation to DOC &amp; NOM</w:t>
      </w:r>
      <w:bookmarkEnd w:id="95"/>
    </w:p>
    <w:p>
      <w:pPr>
        <w:pStyle w:val="FirstParagraph"/>
      </w:pPr>
      <w:r>
        <w:t xml:space="preserve">Figure</w:t>
      </w:r>
      <w:r>
        <w:t xml:space="preserve"> </w:t>
      </w:r>
      <w:r>
        <w:t xml:space="preserve">21</w:t>
      </w:r>
    </w:p>
    <w:p>
      <w:pPr>
        <w:pStyle w:val="CaptionedFigure"/>
      </w:pPr>
      <w:r>
        <w:drawing>
          <wp:inline>
            <wp:extent cx="5504749" cy="6880936"/>
            <wp:effectExtent b="0" l="0" r="0" t="0"/>
            <wp:docPr descr="Figure 21:  Relationships between river stage and sample content and character. Data for each variable were normalized (min-max normalization) to clarify relative scale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96"/>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Relationships between river stage and sample content and character. Data for each variable were normalized (min-max normalization) to clarify relative scales</w:t>
      </w:r>
    </w:p>
    <w:p>
      <w:pPr>
        <w:pStyle w:val="Heading4"/>
      </w:pPr>
      <w:bookmarkStart w:id="97" w:name="Xb5c750840c9bf8358ea14b634c416a38f0b6e32"/>
      <w:r>
        <w:t xml:space="preserve">spatial and temporal variance and synchrony in stage</w:t>
      </w:r>
      <w:bookmarkEnd w:id="97"/>
    </w:p>
    <w:p>
      <w:pPr>
        <w:pStyle w:val="FirstParagraph"/>
      </w:pPr>
      <w:r>
        <w:t xml:space="preserve">Across the LWSA, fluctuations in river stage were temporally synchronized. River responses among the six sites were confirmed to be congruent with high confidence (p-value &lt; 0.001, based on 1050 ranNOMizations) via Kendall’s coefficient of concordance (Kendall’s W = 0.9721) and Spearman’s ranked correlation (ρ = 0.9666).</w:t>
      </w:r>
    </w:p>
    <w:p>
      <w:pPr>
        <w:pStyle w:val="BodyText"/>
      </w:pPr>
      <w:r>
        <w:t xml:space="preserve"> </w:t>
      </w:r>
    </w:p>
    <w:p>
      <w:pPr>
        <w:pStyle w:val="Compact"/>
        <w:numPr>
          <w:numId w:val="1002"/>
          <w:ilvl w:val="0"/>
        </w:numPr>
      </w:pPr>
      <w:r>
        <w:rPr>
          <w:i/>
        </w:rPr>
        <w:t xml:space="preserve">needs work:</w:t>
      </w:r>
    </w:p>
    <w:p>
      <w:pPr>
        <w:pStyle w:val="Compact"/>
        <w:numPr>
          <w:numId w:val="1002"/>
          <w:ilvl w:val="0"/>
        </w:numPr>
      </w:pPr>
      <w:r>
        <w:t xml:space="preserve">Rates of stream response (times to peak): Table</w:t>
      </w:r>
      <w:r>
        <w:t xml:space="preserve"> </w:t>
      </w:r>
      <w:r>
        <w:t xml:space="preserve">14</w:t>
      </w:r>
    </w:p>
    <w:p>
      <w:pPr>
        <w:pStyle w:val="FirstParagraph"/>
      </w:pPr>
      <w:r>
        <w:t xml:space="preserve"> </w:t>
      </w:r>
    </w:p>
    <w:p>
      <w:pPr>
        <w:pStyle w:val="TableCaption"/>
      </w:pPr>
      <w:r>
        <w:t xml:space="preserve">Table 14:</w:t>
      </w:r>
      <w:r>
        <w:t xml:space="preserve"> </w:t>
      </w:r>
      <w:r>
        <w:rPr>
          <w:i/>
        </w:rPr>
        <w:t xml:space="preserve">Summary of stream response to precipitation events across the LWSA.</w:t>
      </w:r>
    </w:p>
    <w:tbl>
      <w:tblPr>
        <w:tblStyle w:val="Table"/>
        <w:tblW w:type="pct" w:w="5000.0"/>
        <w:tblLook w:firstRow="1"/>
        <w:tblCaption w:val="Table 14: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rate of stage change (cm/hr)</w:t>
            </w:r>
          </w:p>
        </w:tc>
        <w:tc>
          <w:tcPr>
            <w:tcBorders>
              <w:bottom w:val="single"/>
            </w:tcBorders>
            <w:vAlign w:val="bottom"/>
          </w:tcPr>
          <w:p>
            <w:pPr>
              <w:pStyle w:val="Compact"/>
              <w:jc w:val="right"/>
            </w:pPr>
            <w:r>
              <w:t xml:space="preserve">slowest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Heading4"/>
      </w:pPr>
      <w:bookmarkStart w:id="98" w:name="rising-stage-nom-dynamics"/>
      <w:r>
        <w:t xml:space="preserve">Rising stage &amp; NOM dynamics</w:t>
      </w:r>
      <w:bookmarkEnd w:id="98"/>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22</w:t>
      </w:r>
      <w:r>
        <w:t xml:space="preserve">.</w:t>
      </w:r>
    </w:p>
    <w:p>
      <w:pPr>
        <w:pStyle w:val="BodyText"/>
      </w:pPr>
      <w:r>
        <w:t xml:space="preserve"> </w:t>
      </w:r>
    </w:p>
    <w:p>
      <w:pPr>
        <w:pStyle w:val="CaptionedFigure"/>
      </w:pPr>
      <w:r>
        <w:drawing>
          <wp:inline>
            <wp:extent cx="4587290" cy="3211103"/>
            <wp:effectExtent b="0" l="0" r="0" t="0"/>
            <wp:docPr descr="Figure 22: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99"/>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BodyText"/>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w:t>
      </w:r>
      <w:r>
        <w:t xml:space="preserve"> </w:t>
      </w:r>
      <w:r>
        <w:t xml:space="preserve">shows DOC concentrations in rising limb sample across rain events. Generally, DOC increased with increasing river stage; however, the trend was not linear in each event response.</w:t>
      </w:r>
    </w:p>
    <w:p>
      <w:pPr>
        <w:pStyle w:val="BodyText"/>
      </w:pPr>
      <w:r>
        <w:rPr>
          <w:i/>
          <w:b/>
        </w:rPr>
        <w:t xml:space="preserve">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p>
    <w:p>
      <w:pPr>
        <w:pStyle w:val="Heading4"/>
      </w:pPr>
      <w:bookmarkStart w:id="100" w:name="Xc2630683f9dc53106c8f6f2575ed377c9a57537"/>
      <w:r>
        <w:t xml:space="preserve">Spatiotemporal synchrony in local extrema: river stage and DOC</w:t>
      </w:r>
      <w:bookmarkEnd w:id="100"/>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15</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15:</w:t>
      </w:r>
      <w:r>
        <w:t xml:space="preserve"> </w:t>
      </w:r>
      <w:r>
        <w:rPr>
          <w:i/>
        </w:rPr>
        <w:t xml:space="preserve">Proportion of samples for which peak DOC was found in the highest sample stage.</w:t>
      </w:r>
    </w:p>
    <w:tbl>
      <w:tblPr>
        <w:tblStyle w:val="Table"/>
        <w:tblW w:type="pct" w:w="0.0"/>
        <w:tblLook w:firstRow="1"/>
        <w:tblCaption w:val="Table 15: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23</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23: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01"/>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rPr>
          <w:b/>
        </w:rPr>
        <w:t xml:space="preserve">needs work:</w:t>
      </w:r>
      <w:r>
        <w:t xml:space="preserve"> </w:t>
      </w:r>
      <w:r>
        <w:t xml:space="preserve">* DOC changes in stormflow</w:t>
      </w:r>
      <w:r>
        <w:t xml:space="preserve"> </w:t>
      </w:r>
      <w:r>
        <w:t xml:space="preserve">* range of DOC in each event:</w:t>
      </w:r>
      <w:r>
        <w:t xml:space="preserve"> </w:t>
      </w:r>
      <w:r>
        <w:t xml:space="preserve">16</w:t>
      </w:r>
    </w:p>
    <w:p>
      <w:pPr>
        <w:pStyle w:val="BodyText"/>
      </w:pPr>
      <w:r>
        <w:t xml:space="preserve"> </w:t>
      </w:r>
    </w:p>
    <w:p>
      <w:pPr>
        <w:pStyle w:val="TableCaption"/>
      </w:pPr>
      <w:r>
        <w:t xml:space="preserve">Table 16:</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6: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23</w:t>
      </w:r>
      <w:r>
        <w:t xml:space="preserve"> </w:t>
      </w:r>
      <w:r>
        <w:t xml:space="preserve">and expanded in Figure</w:t>
      </w:r>
      <w:r>
        <w:t xml:space="preserve"> </w:t>
      </w:r>
      <w:r>
        <w:t xml:space="preserve">24</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17</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17:</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7: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4"/>
          <w:ilvl w:val="0"/>
        </w:numPr>
      </w:pPr>
      <w:r>
        <w:t xml:space="preserve">Rates of stream response (times to peak): Table</w:t>
      </w:r>
      <w:r>
        <w:t xml:space="preserve"> </w:t>
      </w:r>
      <w:r>
        <w:t xml:space="preserve">18</w:t>
      </w:r>
    </w:p>
    <w:p>
      <w:pPr>
        <w:pStyle w:val="FirstParagraph"/>
      </w:pPr>
      <w:r>
        <w:t xml:space="preserve"> </w:t>
      </w:r>
    </w:p>
    <w:p>
      <w:pPr>
        <w:pStyle w:val="TableCaption"/>
      </w:pPr>
      <w:r>
        <w:t xml:space="preserve">Table 18:</w:t>
      </w:r>
      <w:r>
        <w:t xml:space="preserve"> </w:t>
      </w:r>
      <w:r>
        <w:rPr>
          <w:i/>
        </w:rPr>
        <w:t xml:space="preserve">Summary of stream response to precipitation events 10-12 across the LWSA.</w:t>
      </w:r>
    </w:p>
    <w:tbl>
      <w:tblPr>
        <w:tblStyle w:val="Table"/>
        <w:tblW w:type="pct" w:w="5000.0"/>
        <w:tblLook w:firstRow="1"/>
        <w:tblCaption w:val="Table 18: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 Table</w:t>
      </w:r>
      <w:r>
        <w:t xml:space="preserve"> </w:t>
      </w:r>
      <w:r>
        <w:t xml:space="preserve">19</w:t>
      </w:r>
    </w:p>
    <w:p>
      <w:pPr>
        <w:pStyle w:val="FirstParagraph"/>
      </w:pPr>
      <w:r>
        <w:t xml:space="preserve"> </w:t>
      </w:r>
    </w:p>
    <w:p>
      <w:pPr>
        <w:pStyle w:val="TableCaption"/>
      </w:pPr>
      <w:r>
        <w:t xml:space="preserve">Table 19:</w:t>
      </w:r>
      <w:r>
        <w:t xml:space="preserve"> </w:t>
      </w:r>
      <w:r>
        <w:rPr>
          <w:i/>
        </w:rPr>
        <w:t xml:space="preserve">Summary of DOC changes within stormflow response to precipitation events 10-12 across the LWSA.</w:t>
      </w:r>
    </w:p>
    <w:tbl>
      <w:tblPr>
        <w:tblStyle w:val="Table"/>
        <w:tblW w:type="pct" w:w="5000.0"/>
        <w:tblLook w:firstRow="1"/>
        <w:tblCaption w:val="Table 19: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4: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Heading3"/>
      </w:pPr>
      <w:bookmarkStart w:id="103" w:name="discussion"/>
      <w:r>
        <w:t xml:space="preserve">Discussion</w:t>
      </w:r>
      <w:bookmarkEnd w:id="103"/>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3"/>
      </w:pPr>
      <w:bookmarkStart w:id="104" w:name="conculsions"/>
      <w:r>
        <w:t xml:space="preserve">Conculsions</w:t>
      </w:r>
      <w:bookmarkEnd w:id="104"/>
    </w:p>
    <w:p>
      <w:pPr>
        <w:pStyle w:val="Heading2"/>
      </w:pPr>
      <w:bookmarkStart w:id="105" w:name="X452ae66e8a8d6d65f242c2a1cc1d90fa2cc73d7"/>
      <w:r>
        <w:t xml:space="preserve">Watershed characteristics as predictors for DOC and NOM</w:t>
      </w:r>
      <w:bookmarkEnd w:id="105"/>
    </w:p>
    <w:p>
      <w:pPr>
        <w:pStyle w:val="Heading3"/>
      </w:pPr>
      <w:bookmarkStart w:id="106" w:name="introduction"/>
      <w:r>
        <w:t xml:space="preserve">Introduction</w:t>
      </w:r>
      <w:bookmarkEnd w:id="106"/>
    </w:p>
    <w:p>
      <w:pPr>
        <w:pStyle w:val="FirstParagraph"/>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Heading4"/>
      </w:pPr>
      <w:bookmarkStart w:id="107" w:name="random-forests"/>
      <w:r>
        <w:t xml:space="preserve">Random Forests</w:t>
      </w:r>
      <w:bookmarkEnd w:id="107"/>
    </w:p>
    <w:p>
      <w:pPr>
        <w:pStyle w:val="FirstParagraph"/>
      </w:pPr>
      <w:r>
        <w:t xml:space="preserve">A collection of decision trees is a Random Forest, which play an important role for both predictive modeling and inference purposes.</w:t>
      </w:r>
    </w:p>
    <w:p>
      <w:pPr>
        <w:pStyle w:val="BodyText"/>
      </w:pPr>
      <w:r>
        <w:t xml:space="preserve">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The relative importance of each feature is determined by assessing the accuracy of how well the predictant variable is anticipated in the absence of that feature.</w:t>
      </w:r>
    </w:p>
    <w:p>
      <w:pPr>
        <w:pStyle w:val="BodyText"/>
      </w:pPr>
      <w:r>
        <w:t xml:space="preserve">The R package RandomForest was built on Breiman’s Random Forests algorithm. RandomForest was used to determine the relative importance of watershed characteristics and conditions in determining DOC concentrations and DOM character in across the six sites of the LWSA.</w:t>
      </w:r>
    </w:p>
    <w:p>
      <w:pPr>
        <w:pStyle w:val="Compact"/>
        <w:numPr>
          <w:numId w:val="1006"/>
          <w:ilvl w:val="0"/>
        </w:numPr>
      </w:pPr>
      <w:r>
        <w:t xml:space="preserve">ref:</w:t>
      </w:r>
      <w:r>
        <w:t xml:space="preserve"> </w:t>
      </w:r>
      <w:r>
        <w:t xml:space="preserve">(Breiman</w:t>
      </w:r>
      <w:r>
        <w:t xml:space="preserve"> </w:t>
      </w:r>
      <w:hyperlink w:anchor="ref-Breiman2001">
        <w:r>
          <w:rPr>
            <w:rStyle w:val="Hyperlink"/>
          </w:rPr>
          <w:t xml:space="preserve">2001</w:t>
        </w:r>
      </w:hyperlink>
      <w:r>
        <w:t xml:space="preserve">)</w:t>
      </w:r>
    </w:p>
    <w:p>
      <w:pPr>
        <w:pStyle w:val="Heading3"/>
      </w:pPr>
      <w:bookmarkStart w:id="108" w:name="methods"/>
      <w:r>
        <w:t xml:space="preserve">Methods</w:t>
      </w:r>
      <w:bookmarkEnd w:id="108"/>
    </w:p>
    <w:p>
      <w:pPr>
        <w:pStyle w:val="FirstParagraph"/>
      </w:pPr>
      <w:r>
        <w:t xml:space="preserve">__*add__</w:t>
      </w:r>
    </w:p>
    <w:p>
      <w:pPr>
        <w:pStyle w:val="Heading3"/>
      </w:pPr>
      <w:bookmarkStart w:id="109" w:name="results"/>
      <w:r>
        <w:t xml:space="preserve">Results</w:t>
      </w:r>
      <w:bookmarkEnd w:id="109"/>
    </w:p>
    <w:p>
      <w:pPr>
        <w:pStyle w:val="FirstParagraph"/>
      </w:pPr>
      <w:r>
        <w:rPr>
          <w:i/>
          <w:b/>
        </w:rPr>
        <w:t xml:space="preserve">Note:</w:t>
      </w:r>
      <w:r>
        <w:t xml:space="preserve"> </w:t>
      </w:r>
      <w:r>
        <w:t xml:space="preserve">these results are based only on the LWSA monitoring site data, I will update with the full synoptic sites watershed characteristics shortly.</w:t>
      </w:r>
    </w:p>
    <w:p>
      <w:pPr>
        <w:pStyle w:val="BodyText"/>
      </w:pPr>
      <w:r>
        <w:t xml:space="preserve">Dry season data only: (Figure</w:t>
      </w:r>
      <w:r>
        <w:t xml:space="preserve"> </w:t>
      </w:r>
      <w:r>
        <w:t xml:space="preserve">25</w:t>
      </w:r>
      <w:r>
        <w:t xml:space="preserve">.</w:t>
      </w:r>
    </w:p>
    <w:p>
      <w:pPr>
        <w:pStyle w:val="BodyText"/>
      </w:pPr>
      <w:r>
        <w:t xml:space="preserve"> </w:t>
      </w:r>
    </w:p>
    <w:p>
      <w:pPr>
        <w:pStyle w:val="CaptionedFigure"/>
      </w:pPr>
      <w:r>
        <w:drawing>
          <wp:inline>
            <wp:extent cx="4587290" cy="3669832"/>
            <wp:effectExtent b="0" l="0" r="0" t="0"/>
            <wp:docPr descr="Figure 25:  **" title="" id="1" name="Picture"/>
            <a:graphic>
              <a:graphicData uri="http://schemas.openxmlformats.org/drawingml/2006/picture">
                <pic:pic>
                  <pic:nvPicPr>
                    <pic:cNvPr descr="R-outputs_UBC-forWater-MSc_HMc/figures/RF_NPOC_type1-dry-relimp_MSE.png" id="0" name="Picture"/>
                    <pic:cNvPicPr>
                      <a:picLocks noChangeArrowheads="1" noChangeAspect="1"/>
                    </pic:cNvPicPr>
                  </pic:nvPicPr>
                  <pic:blipFill>
                    <a:blip r:embed="rId11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w:t>
      </w:r>
    </w:p>
    <w:p>
      <w:pPr>
        <w:pStyle w:val="BodyText"/>
      </w:pPr>
      <w:r>
        <w:t xml:space="preserve"> </w:t>
      </w:r>
    </w:p>
    <w:p>
      <w:pPr>
        <w:pStyle w:val="BodyText"/>
      </w:pPr>
      <w:r>
        <w:t xml:space="preserve">Wet season data only: (Figure</w:t>
      </w:r>
      <w:r>
        <w:t xml:space="preserve"> </w:t>
      </w:r>
      <w:r>
        <w:t xml:space="preserve">26</w:t>
      </w:r>
      <w:r>
        <w:t xml:space="preserve">.</w:t>
      </w:r>
    </w:p>
    <w:p>
      <w:pPr>
        <w:pStyle w:val="BodyText"/>
      </w:pPr>
      <w:r>
        <w:t xml:space="preserve"> </w:t>
      </w:r>
    </w:p>
    <w:p>
      <w:pPr>
        <w:pStyle w:val="CaptionedFigure"/>
      </w:pPr>
      <w:r>
        <w:drawing>
          <wp:inline>
            <wp:extent cx="4587290" cy="3669832"/>
            <wp:effectExtent b="0" l="0" r="0" t="0"/>
            <wp:docPr descr="Figure 26:  Wet seasons data included in RF (LWSA monitoring sites)" title="" id="1" name="Picture"/>
            <a:graphic>
              <a:graphicData uri="http://schemas.openxmlformats.org/drawingml/2006/picture">
                <pic:pic>
                  <pic:nvPicPr>
                    <pic:cNvPr descr="R-outputs_UBC-forWater-MSc_HMc/figures/RF_NPOC_type1-wet-relimp_MSE.png" id="0" name="Picture"/>
                    <pic:cNvPicPr>
                      <a:picLocks noChangeArrowheads="1" noChangeAspect="1"/>
                    </pic:cNvPicPr>
                  </pic:nvPicPr>
                  <pic:blipFill>
                    <a:blip r:embed="rId11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Wet seasons data included in RF (LWSA monitoring sites)</w:t>
      </w:r>
    </w:p>
    <w:p>
      <w:pPr>
        <w:pStyle w:val="BodyText"/>
      </w:pPr>
      <w:r>
        <w:t xml:space="preserve"> </w:t>
      </w:r>
    </w:p>
    <w:p>
      <w:pPr>
        <w:pStyle w:val="BodyText"/>
      </w:pPr>
      <w:r>
        <w:t xml:space="preserve">RF With all seasons data: (Figure</w:t>
      </w:r>
      <w:r>
        <w:t xml:space="preserve"> </w:t>
      </w:r>
      <w:r>
        <w:t xml:space="preserve">27</w:t>
      </w:r>
      <w:r>
        <w:t xml:space="preserve">.</w:t>
      </w:r>
    </w:p>
    <w:p>
      <w:pPr>
        <w:pStyle w:val="BodyText"/>
      </w:pPr>
      <w:r>
        <w:t xml:space="preserve"> </w:t>
      </w:r>
    </w:p>
    <w:p>
      <w:pPr>
        <w:pStyle w:val="CaptionedFigure"/>
      </w:pPr>
      <w:r>
        <w:drawing>
          <wp:inline>
            <wp:extent cx="4587290" cy="3669832"/>
            <wp:effectExtent b="0" l="0" r="0" t="0"/>
            <wp:docPr descr="Figure 27:  All seasons data included in RF (LWSA monitoring sites)" title="" id="1" name="Picture"/>
            <a:graphic>
              <a:graphicData uri="http://schemas.openxmlformats.org/drawingml/2006/picture">
                <pic:pic>
                  <pic:nvPicPr>
                    <pic:cNvPr descr="R-outputs_UBC-forWater-MSc_HMc/figures/RF_NPOC-type1-relimp_MSE.png" id="0" name="Picture"/>
                    <pic:cNvPicPr>
                      <a:picLocks noChangeArrowheads="1" noChangeAspect="1"/>
                    </pic:cNvPicPr>
                  </pic:nvPicPr>
                  <pic:blipFill>
                    <a:blip r:embed="rId11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All seasons data included in RF (LWSA monitoring sites)</w:t>
      </w:r>
    </w:p>
    <w:p>
      <w:pPr>
        <w:pStyle w:val="BodyText"/>
      </w:pPr>
      <w:r>
        <w:t xml:space="preserve"> </w:t>
      </w:r>
    </w:p>
    <w:p>
      <w:pPr>
        <w:pStyle w:val="Heading3"/>
      </w:pPr>
      <w:bookmarkStart w:id="113" w:name="discussion"/>
      <w:r>
        <w:t xml:space="preserve">Discussion</w:t>
      </w:r>
      <w:bookmarkEnd w:id="113"/>
    </w:p>
    <w:p>
      <w:pPr>
        <w:pStyle w:val="Heading3"/>
      </w:pPr>
      <w:bookmarkStart w:id="114" w:name="conclusions"/>
      <w:r>
        <w:t xml:space="preserve">Conclusions</w:t>
      </w:r>
      <w:bookmarkEnd w:id="114"/>
    </w:p>
    <w:p>
      <w:pPr>
        <w:pStyle w:val="Heading2"/>
      </w:pPr>
      <w:bookmarkStart w:id="115" w:name="X8db5f38833cbb48dc6afb8e20d30ffa86edd60c"/>
      <w:r>
        <w:t xml:space="preserve">Discussion of results in context of drinking water supply</w:t>
      </w:r>
      <w:bookmarkEnd w:id="115"/>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Heading2"/>
      </w:pPr>
      <w:bookmarkStart w:id="116" w:name="summary-and-concluding-remarks"/>
      <w:r>
        <w:t xml:space="preserve">Summary and concluding remarks</w:t>
      </w:r>
      <w:bookmarkEnd w:id="116"/>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7"/>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08"/>
          <w:ilvl w:val="0"/>
        </w:numPr>
      </w:pPr>
      <w:r>
        <w:t xml:space="preserve">Across the LWSA, was the variance in DOC greater within each site or among all sites?</w:t>
      </w:r>
    </w:p>
    <w:p>
      <w:pPr>
        <w:numPr>
          <w:numId w:val="1008"/>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7" w:name="references"/>
      <w:r>
        <w:t xml:space="preserve">References</w:t>
      </w:r>
      <w:bookmarkEnd w:id="117"/>
    </w:p>
    <w:p>
      <w:pPr>
        <w:pStyle w:val="Heading1"/>
      </w:pPr>
      <w:bookmarkStart w:id="118" w:name="appendices"/>
      <w:r>
        <w:t xml:space="preserve">Appendices</w:t>
      </w:r>
      <w:bookmarkEnd w:id="118"/>
    </w:p>
    <w:p>
      <w:pPr>
        <w:pStyle w:val="Heading7"/>
      </w:pPr>
      <w:bookmarkStart w:id="119" w:name="introduction-extended-background"/>
      <w:r>
        <w:t xml:space="preserve">Introduction: extended background</w:t>
      </w:r>
      <w:bookmarkEnd w:id="119"/>
    </w:p>
    <w:p>
      <w:pPr>
        <w:pStyle w:val="Heading8"/>
      </w:pPr>
      <w:bookmarkStart w:id="120" w:name="the-nserc-forwater-network"/>
      <w:r>
        <w:t xml:space="preserve">The NSERC forWater Network</w:t>
      </w:r>
      <w:bookmarkEnd w:id="120"/>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21" w:name="X264f14d3eae9d18c35d78736d0a098750021930"/>
      <w:r>
        <w:t xml:space="preserve">Greater Victoria Regional Water Supply System</w:t>
      </w:r>
      <w:bookmarkEnd w:id="121"/>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22" w:name="Xe968f3c83cbcc4b5a1983307cc0905fcf58e8c8"/>
      <w:r>
        <w:t xml:space="preserve">Leech watershed monitoring sites: details and observations</w:t>
      </w:r>
      <w:bookmarkEnd w:id="122"/>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23" w:name="lwsa-sites"/>
      <w:r>
        <w:t xml:space="preserve">LWSA Sites</w:t>
      </w:r>
      <w:bookmarkEnd w:id="123"/>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Outlet</w:t>
      </w:r>
    </w:p>
    <w:p>
      <w:pPr>
        <w:pStyle w:val="BodyText"/>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BodyText"/>
      </w:pPr>
      <w:r>
        <w:t xml:space="preserve"> </w:t>
      </w:r>
    </w:p>
    <w:p>
      <w:pPr>
        <w:pStyle w:val="BodyText"/>
      </w:pPr>
      <w:r>
        <w:rPr>
          <w:i/>
          <w:b/>
        </w:rPr>
        <w:t xml:space="preserve">Chris Creek</w:t>
      </w:r>
    </w:p>
    <w:p>
      <w:pPr>
        <w:pStyle w:val="BodyText"/>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BodyText"/>
      </w:pPr>
      <w:r>
        <w:t xml:space="preserve"> </w:t>
      </w:r>
    </w:p>
    <w:p>
      <w:pPr>
        <w:pStyle w:val="BodyText"/>
      </w:pPr>
      <w:r>
        <w:rPr>
          <w:i/>
          <w:b/>
        </w:rPr>
        <w:t xml:space="preserve">Leech Head</w:t>
      </w:r>
    </w:p>
    <w:p>
      <w:pPr>
        <w:pStyle w:val="BodyText"/>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t xml:space="preserve"> </w:t>
      </w:r>
    </w:p>
    <w:p>
      <w:pPr>
        <w:pStyle w:val="BodyText"/>
      </w:pPr>
      <w:r>
        <w:rPr>
          <w:i/>
          <w:b/>
        </w:rPr>
        <w:t xml:space="preserve">Cragg Creek</w:t>
      </w:r>
    </w:p>
    <w:p>
      <w:pPr>
        <w:pStyle w:val="BodyText"/>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BodyText"/>
      </w:pPr>
      <w:r>
        <w:t xml:space="preserve"> </w:t>
      </w:r>
    </w:p>
    <w:p>
      <w:pPr>
        <w:pStyle w:val="BodyText"/>
      </w:pPr>
      <w:r>
        <w:rPr>
          <w:i/>
          <w:b/>
        </w:rPr>
        <w:t xml:space="preserve">West Leech</w:t>
      </w:r>
    </w:p>
    <w:p>
      <w:pPr>
        <w:pStyle w:val="BodyText"/>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BodyText"/>
      </w:pPr>
      <w:r>
        <w:t xml:space="preserve"> </w:t>
      </w:r>
    </w:p>
    <w:p>
      <w:pPr>
        <w:pStyle w:val="BodyText"/>
      </w:pPr>
      <w:r>
        <w:rPr>
          <w:i/>
          <w:b/>
        </w:rPr>
        <w:t xml:space="preserve">Leech Tunnel</w:t>
      </w:r>
    </w:p>
    <w:p>
      <w:pPr>
        <w:pStyle w:val="BodyText"/>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 bed here is dominated by Schist bedrock and boulders. The bedrock in the center of the channel is deeply incised, but overall the river is wider than is is deep. The Tunnel site is approximately 1km downstream of the West Leech confluence.</w:t>
      </w:r>
    </w:p>
    <w:p>
      <w:pPr>
        <w:pStyle w:val="Heading7"/>
      </w:pPr>
      <w:bookmarkStart w:id="124" w:name="sampling-methods-extended"/>
      <w:r>
        <w:t xml:space="preserve">Sampling methods extended</w:t>
      </w:r>
      <w:bookmarkEnd w:id="124"/>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5" w:name="X4e3eb70344da6a931ae15671e47b67ae69cdd36"/>
      <w:r>
        <w:t xml:space="preserve">Prototype for falling limb passive sampling</w:t>
      </w:r>
      <w:bookmarkEnd w:id="125"/>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6" w:name="field-protocol"/>
      <w:r>
        <w:t xml:space="preserve">Field protocol</w:t>
      </w:r>
      <w:bookmarkEnd w:id="126"/>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7" w:name="X2d89b5d6f202e03997b814e44f6e42dfdd5249c"/>
      <w:r>
        <w:t xml:space="preserve">Collaborative sampling: forWater-coordinated treatability analyses</w:t>
      </w:r>
      <w:bookmarkEnd w:id="127"/>
    </w:p>
    <w:p>
      <w:pPr>
        <w:pStyle w:val="Heading8"/>
      </w:pPr>
      <w:bookmarkStart w:id="128" w:name="methods-treatability-doc"/>
      <w:r>
        <w:t xml:space="preserve">Methods: Treatability &amp; DOC</w:t>
      </w:r>
      <w:bookmarkEnd w:id="128"/>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09"/>
          <w:ilvl w:val="0"/>
        </w:numPr>
      </w:pPr>
      <w:r>
        <w:t xml:space="preserve">Leech River at the future point of diversion (near Leech Tunnel inlet)</w:t>
      </w:r>
    </w:p>
    <w:p>
      <w:pPr>
        <w:pStyle w:val="Compact"/>
        <w:numPr>
          <w:numId w:val="1009"/>
          <w:ilvl w:val="0"/>
        </w:numPr>
      </w:pPr>
      <w:r>
        <w:t xml:space="preserve">Deception Reservoir, downstream from Deception Gulch (outlet of Leech Tunnel)</w:t>
      </w:r>
    </w:p>
    <w:p>
      <w:pPr>
        <w:pStyle w:val="Compact"/>
        <w:numPr>
          <w:numId w:val="1009"/>
          <w:ilvl w:val="0"/>
        </w:numPr>
      </w:pPr>
      <w:r>
        <w:t xml:space="preserve">Rithet Creek (main tributary to Sooke Reservoir)</w:t>
      </w:r>
    </w:p>
    <w:p>
      <w:pPr>
        <w:pStyle w:val="Compact"/>
        <w:numPr>
          <w:numId w:val="1009"/>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9" w:name="results-treatability-doc"/>
      <w:r>
        <w:t xml:space="preserve">Results: Treatability &amp; DOC</w:t>
      </w:r>
      <w:bookmarkEnd w:id="129"/>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28</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8: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3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1" w:name="Xff3df6f0b5125afdf67e23fe1c58fcbb9379388"/>
      <w:r>
        <w:t xml:space="preserve">Collaborative sampling: Sampling for Metals on behalf of the CRD</w:t>
      </w:r>
      <w:bookmarkEnd w:id="131"/>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29</w:t>
      </w:r>
      <w:r>
        <w:t xml:space="preserve"> </w:t>
      </w:r>
      <w:r>
        <w:t xml:space="preserve">shows DOC with total metals in μg/L, and Figure</w:t>
      </w:r>
      <w:r>
        <w:t xml:space="preserve"> </w:t>
      </w:r>
      <w:r>
        <w:t xml:space="preserve">30</w:t>
      </w:r>
      <w:r>
        <w:t xml:space="preserve"> </w:t>
      </w:r>
      <w:r>
        <w:t xml:space="preserve">shows metals in mg/L).</w:t>
      </w:r>
    </w:p>
    <w:p>
      <w:pPr>
        <w:pStyle w:val="BodyText"/>
      </w:pPr>
      <w:r>
        <w:t xml:space="preserve"> </w:t>
      </w:r>
    </w:p>
    <w:p>
      <w:pPr>
        <w:pStyle w:val="CaptionedFigure"/>
      </w:pPr>
      <w:r>
        <w:drawing>
          <wp:inline>
            <wp:extent cx="5923721" cy="7767812"/>
            <wp:effectExtent b="0" l="0" r="0" t="0"/>
            <wp:docPr descr="Figure 29: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2"/>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23721" cy="7767812"/>
            <wp:effectExtent b="0" l="0" r="0" t="0"/>
            <wp:docPr descr="Figure 30: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3"/>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20</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20:</w:t>
      </w:r>
      <w:r>
        <w:t xml:space="preserve"> </w:t>
      </w:r>
      <w:r>
        <w:rPr>
          <w:i/>
        </w:rPr>
        <w:t xml:space="preserve">Relationships between total metals with dissolved organic carbon</w:t>
      </w:r>
    </w:p>
    <w:tbl>
      <w:tblPr>
        <w:tblStyle w:val="Table"/>
        <w:tblW w:type="pct" w:w="0.0"/>
        <w:tblLook w:firstRow="1"/>
        <w:tblCaption w:val="Table 20: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34" w:name="ancilary-data-climate-context"/>
      <w:r>
        <w:t xml:space="preserve">Ancilary data: climate context</w:t>
      </w:r>
      <w:bookmarkEnd w:id="134"/>
    </w:p>
    <w:p>
      <w:pPr>
        <w:pStyle w:val="Heading8"/>
      </w:pPr>
      <w:bookmarkStart w:id="135" w:name="fwx-stations-in-the-lwsa"/>
      <w:r>
        <w:t xml:space="preserve">FWx stations in the LWSA</w:t>
      </w:r>
      <w:bookmarkEnd w:id="135"/>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31</w:t>
      </w:r>
      <w:r>
        <w:t xml:space="preserve">, Table</w:t>
      </w:r>
      <w:r>
        <w:t xml:space="preserve"> </w:t>
      </w:r>
      <w:r>
        <w:t xml:space="preserve">21</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1: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6"/>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21: Annual weather from CRD FWx stations in the Leech water supply area*</w:t>
      </w:r>
    </w:p>
    <w:tbl>
      <w:tblPr>
        <w:tblStyle w:val="Table"/>
        <w:tblW w:type="pct" w:w="5000.0"/>
        <w:tblLook w:firstRow="1"/>
        <w:tblCaption w:val="Table 21: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7" w:name="malahat-5-year-weather"/>
      <w:r>
        <w:t xml:space="preserve">Malahat 5 year weather</w:t>
      </w:r>
      <w:bookmarkEnd w:id="137"/>
    </w:p>
    <w:p>
      <w:pPr>
        <w:pStyle w:val="Compact"/>
        <w:numPr>
          <w:numId w:val="1010"/>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32</w:t>
      </w:r>
      <w:r>
        <w:t xml:space="preserve"> </w:t>
      </w:r>
      <w:r>
        <w:t xml:space="preserve">shows Malahat weather data, which are summarized in Table</w:t>
      </w:r>
      <w:r>
        <w:t xml:space="preserve"> </w:t>
      </w:r>
      <w:r>
        <w:t xml:space="preserve">22</w:t>
      </w:r>
      <w:r>
        <w:t xml:space="preserve">.</w:t>
      </w:r>
    </w:p>
    <w:p>
      <w:pPr>
        <w:pStyle w:val="CaptionedFigure"/>
      </w:pPr>
      <w:r>
        <w:drawing>
          <wp:inline>
            <wp:extent cx="5923721" cy="7767812"/>
            <wp:effectExtent b="0" l="0" r="0" t="0"/>
            <wp:docPr descr="Figure 32: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8"/>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22:</w:t>
      </w:r>
      <w:r>
        <w:t xml:space="preserve"> </w:t>
      </w:r>
      <w:r>
        <w:rPr>
          <w:i/>
        </w:rPr>
        <w:t xml:space="preserve">Annual weather data from Malahat station (MoTI ID 62091)</w:t>
      </w:r>
    </w:p>
    <w:tbl>
      <w:tblPr>
        <w:tblStyle w:val="Table"/>
        <w:tblW w:type="pct" w:w="0.0"/>
        <w:tblLook w:firstRow="1"/>
        <w:tblCaption w:val="Table 22: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33</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23721" cy="7767812"/>
            <wp:effectExtent b="0" l="0" r="0" t="0"/>
            <wp:docPr descr="Figure 33: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9"/>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23:</w:t>
      </w:r>
      <w:r>
        <w:t xml:space="preserve"> </w:t>
      </w:r>
      <w:r>
        <w:rPr>
          <w:i/>
        </w:rPr>
        <w:t xml:space="preserve">Results of Wilcoxon test for Malahat weather data before and during the study period</w:t>
      </w:r>
    </w:p>
    <w:tbl>
      <w:tblPr>
        <w:tblStyle w:val="Table"/>
        <w:tblW w:type="pct" w:w="0.0"/>
        <w:tblLook w:firstRow="1"/>
        <w:tblCaption w:val="Table 23: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40" w:name="Xf5bd38fa1fb9dfd4e7cefd39104e81e653219ae"/>
      <w:r>
        <w:t xml:space="preserve">Extended: linear regression for air temperatures at vertical racks</w:t>
      </w:r>
      <w:bookmarkEnd w:id="140"/>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2"/>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Heading8"/>
      </w:pPr>
      <w:bookmarkStart w:id="143" w:name="Xcb91ee272f7dfa22c755b18931f0aed63be860e"/>
      <w:r>
        <w:t xml:space="preserve">Linear regression: air temperature estimation</w:t>
      </w:r>
      <w:bookmarkEnd w:id="143"/>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24</w:t>
      </w:r>
      <w:r>
        <w:t xml:space="preserve">) with no statistical difference (at 90% confidence) for Cragg Crk, West Leech and the Tunnel (sites 4, 5, 6).</w:t>
      </w:r>
    </w:p>
    <w:p>
      <w:pPr>
        <w:pStyle w:val="BodyText"/>
      </w:pPr>
      <w:r>
        <w:t xml:space="preserve"> </w:t>
      </w:r>
    </w:p>
    <w:p>
      <w:pPr>
        <w:pStyle w:val="TableCaption"/>
      </w:pPr>
      <w:r>
        <w:t xml:space="preserve">Table 24:</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4: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25:</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5: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6" w:name="possible-trash"/>
      <w:r>
        <w:t xml:space="preserve">possible trash</w:t>
      </w:r>
      <w:bookmarkEnd w:id="146"/>
    </w:p>
    <w:p>
      <w:pPr>
        <w:pStyle w:val="Heading8"/>
      </w:pPr>
      <w:bookmarkStart w:id="147" w:name="spatial-variance-in-doc-concentrations"/>
      <w:r>
        <w:t xml:space="preserve">Spatial variance in DOC concentrations</w:t>
      </w:r>
      <w:bookmarkEnd w:id="147"/>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26</w:t>
      </w:r>
      <w:r>
        <w:t xml:space="preserve">).</w:t>
      </w:r>
    </w:p>
    <w:p>
      <w:pPr>
        <w:pStyle w:val="BodyText"/>
      </w:pPr>
      <w:r>
        <w:t xml:space="preserve"> </w:t>
      </w:r>
    </w:p>
    <w:p>
      <w:pPr>
        <w:pStyle w:val="TableCaption"/>
      </w:pPr>
      <w:r>
        <w:t xml:space="preserve">Table 26:</w:t>
      </w:r>
      <w:r>
        <w:t xml:space="preserve"> </w:t>
      </w:r>
      <w:r>
        <w:rPr>
          <w:i/>
        </w:rPr>
        <w:t xml:space="preserve">Summary of DOC across the six LWSA research sites with each nested catchment classified by basin type.</w:t>
      </w:r>
    </w:p>
    <w:tbl>
      <w:tblPr>
        <w:tblStyle w:val="Table"/>
        <w:tblW w:type="pct" w:w="5000.0"/>
        <w:tblLook w:firstRow="1"/>
        <w:tblCaption w:val="Table 26: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48"/>
      </w:r>
    </w:p>
    <w:p>
      <w:pPr>
        <w:pStyle w:val="BodyText"/>
      </w:pPr>
      <w:r>
        <w:t xml:space="preserve">To identify which pairs of sites had equal DOC variance Levene’s test was applied to sample DOC results. Table</w:t>
      </w:r>
      <w:r>
        <w:t xml:space="preserve"> </w:t>
      </w:r>
      <w:r>
        <w:t xml:space="preserve">27</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27:</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7: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49" w:name="e2e3-over-time"/>
      <w:r>
        <w:t xml:space="preserve">E2E3 over time</w:t>
      </w:r>
      <w:bookmarkEnd w:id="149"/>
    </w:p>
    <w:p>
      <w:pPr>
        <w:pStyle w:val="CaptionedFigure"/>
      </w:pPr>
      <w:r>
        <w:drawing>
          <wp:inline>
            <wp:extent cx="3669832" cy="3669832"/>
            <wp:effectExtent b="0" l="0" r="0" t="0"/>
            <wp:docPr descr="Figure 38: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5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rPr>
          <w:i/>
          <w:b/>
        </w:rPr>
        <w:t xml:space="preserve">?</w:t>
      </w:r>
    </w:p>
    <w:p>
      <w:pPr>
        <w:pStyle w:val="Compact"/>
        <w:numPr>
          <w:numId w:val="1011"/>
          <w:ilvl w:val="0"/>
        </w:numPr>
      </w:pPr>
      <w:r>
        <w:t xml:space="preserve">Gauging Streamflow (?)</w:t>
      </w:r>
    </w:p>
    <w:bookmarkStart w:id="263" w:name="refs"/>
    <w:bookmarkStart w:id="152"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1">
        <w:r>
          <w:rPr>
            <w:rStyle w:val="Hyperlink"/>
          </w:rPr>
          <w:t xml:space="preserve">https://doi.org/10.1111/ele.12897</w:t>
        </w:r>
      </w:hyperlink>
      <w:r>
        <w:t xml:space="preserve">.</w:t>
      </w:r>
    </w:p>
    <w:bookmarkEnd w:id="152"/>
    <w:bookmarkStart w:id="154"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3">
        <w:r>
          <w:rPr>
            <w:rStyle w:val="Hyperlink"/>
          </w:rPr>
          <w:t xml:space="preserve">https://doi.org/10.1002/j.1551-8833.1995.tb06299.x</w:t>
        </w:r>
      </w:hyperlink>
      <w:r>
        <w:t xml:space="preserve">.</w:t>
      </w:r>
    </w:p>
    <w:bookmarkEnd w:id="154"/>
    <w:bookmarkStart w:id="156"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5">
        <w:r>
          <w:rPr>
            <w:rStyle w:val="Hyperlink"/>
          </w:rPr>
          <w:t xml:space="preserve">https://doi.org/10.1021/es103992s</w:t>
        </w:r>
      </w:hyperlink>
      <w:r>
        <w:t xml:space="preserve">.</w:t>
      </w:r>
    </w:p>
    <w:bookmarkEnd w:id="156"/>
    <w:bookmarkStart w:id="158"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7">
        <w:r>
          <w:rPr>
            <w:rStyle w:val="Hyperlink"/>
          </w:rPr>
          <w:t xml:space="preserve">https://doi.org/10.1016/j.jhydrol.2014.05.060</w:t>
        </w:r>
      </w:hyperlink>
      <w:r>
        <w:t xml:space="preserve">.</w:t>
      </w:r>
    </w:p>
    <w:bookmarkEnd w:id="158"/>
    <w:bookmarkStart w:id="160"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9">
        <w:r>
          <w:rPr>
            <w:rStyle w:val="Hyperlink"/>
          </w:rPr>
          <w:t xml:space="preserve">https://doi.org/10.1029/2007JG000674</w:t>
        </w:r>
      </w:hyperlink>
      <w:r>
        <w:t xml:space="preserve">.</w:t>
      </w:r>
    </w:p>
    <w:bookmarkEnd w:id="160"/>
    <w:bookmarkStart w:id="162"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1">
        <w:r>
          <w:rPr>
            <w:rStyle w:val="Hyperlink"/>
          </w:rPr>
          <w:t xml:space="preserve">http://www.standardmethods.org/</w:t>
        </w:r>
      </w:hyperlink>
      <w:r>
        <w:t xml:space="preserve">.</w:t>
      </w:r>
    </w:p>
    <w:bookmarkEnd w:id="162"/>
    <w:bookmarkStart w:id="164"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3">
        <w:r>
          <w:rPr>
            <w:rStyle w:val="Hyperlink"/>
          </w:rPr>
          <w:t xml:space="preserve">https://doi.org/10.2105/SMWW.2882.113</w:t>
        </w:r>
      </w:hyperlink>
      <w:r>
        <w:t xml:space="preserve">.</w:t>
      </w:r>
    </w:p>
    <w:bookmarkEnd w:id="164"/>
    <w:bookmarkStart w:id="166"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5">
        <w:r>
          <w:rPr>
            <w:rStyle w:val="Hyperlink"/>
          </w:rPr>
          <w:t xml:space="preserve">https://doi.org/10.1007/s11749-016-0481-7</w:t>
        </w:r>
      </w:hyperlink>
      <w:r>
        <w:t xml:space="preserve">.</w:t>
      </w:r>
    </w:p>
    <w:bookmarkEnd w:id="166"/>
    <w:bookmarkStart w:id="168"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7">
        <w:r>
          <w:rPr>
            <w:rStyle w:val="Hyperlink"/>
          </w:rPr>
          <w:t xml:space="preserve">https://doi.org/10.1201/9780367816377-11</w:t>
        </w:r>
      </w:hyperlink>
      <w:r>
        <w:t xml:space="preserve">.</w:t>
      </w:r>
    </w:p>
    <w:bookmarkEnd w:id="168"/>
    <w:bookmarkStart w:id="170" w:name="ref-BC2019"/>
    <w:p>
      <w:pPr>
        <w:pStyle w:val="Bibliography"/>
      </w:pPr>
      <w:r>
        <w:t xml:space="preserve">British Columbia Ministry of Environment. 2017. “Source Drinking Water Quality Guidelines: Guideline Summary.” Victoria, B.C.: Prov. B.C.</w:t>
      </w:r>
      <w:r>
        <w:t xml:space="preserve"> </w:t>
      </w:r>
      <w:hyperlink r:id="rId169">
        <w:r>
          <w:rPr>
            <w:rStyle w:val="Hyperlink"/>
          </w:rPr>
          <w:t xml:space="preserve">https://www2.gov.bc.ca/gov/content/governments/organizational-structure/ministries-organizations/ministries/environment-climate-change</w:t>
        </w:r>
      </w:hyperlink>
      <w:r>
        <w:t xml:space="preserve">.</w:t>
      </w:r>
    </w:p>
    <w:bookmarkEnd w:id="170"/>
    <w:bookmarkStart w:id="171" w:name="ref-CCME2004"/>
    <w:p>
      <w:pPr>
        <w:pStyle w:val="Bibliography"/>
      </w:pPr>
      <w:r>
        <w:t xml:space="preserve">Canadian Council of Ministers of the Environment. 2004. “From source to tap : guidance on the multi-barrier approach to safe drinking water.”</w:t>
      </w:r>
    </w:p>
    <w:bookmarkEnd w:id="171"/>
    <w:bookmarkStart w:id="173"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2">
        <w:r>
          <w:rPr>
            <w:rStyle w:val="Hyperlink"/>
          </w:rPr>
          <w:t xml:space="preserve">https://doi.org/10.2166/aqua.2008.064</w:t>
        </w:r>
      </w:hyperlink>
      <w:r>
        <w:t xml:space="preserve">.</w:t>
      </w:r>
    </w:p>
    <w:bookmarkEnd w:id="173"/>
    <w:bookmarkStart w:id="175" w:name="ref-CapitalRegionDistrict2017"/>
    <w:p>
      <w:pPr>
        <w:pStyle w:val="Bibliography"/>
      </w:pPr>
      <w:r>
        <w:t xml:space="preserve">CRD. 2017. “Regional Water Supply 2017 Strategic Plan.” Victoria, B.C.: Capital Region District, Integrated Water Services.</w:t>
      </w:r>
      <w:r>
        <w:t xml:space="preserve"> </w:t>
      </w:r>
      <w:hyperlink r:id="rId174">
        <w:r>
          <w:rPr>
            <w:rStyle w:val="Hyperlink"/>
          </w:rPr>
          <w:t xml:space="preserve">https://www.crd.bc.ca/project/past-capital-projects-and-initiatives/water-supply-plan</w:t>
        </w:r>
      </w:hyperlink>
      <w:r>
        <w:t xml:space="preserve">.</w:t>
      </w:r>
    </w:p>
    <w:bookmarkEnd w:id="175"/>
    <w:bookmarkStart w:id="177"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76">
        <w:r>
          <w:rPr>
            <w:rStyle w:val="Hyperlink"/>
          </w:rPr>
          <w:t xml:space="preserve">https://doi.org/IWSS-297445977-5079</w:t>
        </w:r>
      </w:hyperlink>
      <w:r>
        <w:t xml:space="preserve">.</w:t>
      </w:r>
    </w:p>
    <w:bookmarkEnd w:id="177"/>
    <w:bookmarkStart w:id="178" w:name="ref-CRD2020"/>
    <w:p>
      <w:pPr>
        <w:pStyle w:val="Bibliography"/>
      </w:pPr>
      <w:r>
        <w:t xml:space="preserve">———. 2020. “Unpublished weather station data, Greater Victoria Water Supply Area.” Victoria, B.C.: Capital Regional District, Watershed Protection Division, Integrated Water Services.</w:t>
      </w:r>
    </w:p>
    <w:bookmarkEnd w:id="178"/>
    <w:bookmarkStart w:id="180"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79">
        <w:r>
          <w:rPr>
            <w:rStyle w:val="Hyperlink"/>
          </w:rPr>
          <w:t xml:space="preserve">https://doi.org/10.1139/cjfas-2014-0400</w:t>
        </w:r>
      </w:hyperlink>
      <w:r>
        <w:t xml:space="preserve">.</w:t>
      </w:r>
    </w:p>
    <w:bookmarkEnd w:id="180"/>
    <w:bookmarkStart w:id="182"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1">
        <w:r>
          <w:rPr>
            <w:rStyle w:val="Hyperlink"/>
          </w:rPr>
          <w:t xml:space="preserve">https://doi.org/10.1016/B978-0-12-382092-1.00019-1</w:t>
        </w:r>
      </w:hyperlink>
      <w:r>
        <w:t xml:space="preserve">.</w:t>
      </w:r>
    </w:p>
    <w:bookmarkEnd w:id="182"/>
    <w:bookmarkStart w:id="184"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3">
        <w:r>
          <w:rPr>
            <w:rStyle w:val="Hyperlink"/>
          </w:rPr>
          <w:t xml:space="preserve">https://doi.org/10.1016/j.watres.2016.08.031</w:t>
        </w:r>
      </w:hyperlink>
      <w:r>
        <w:t xml:space="preserve">.</w:t>
      </w:r>
    </w:p>
    <w:bookmarkEnd w:id="184"/>
    <w:bookmarkStart w:id="186" w:name="ref-Diehl2007"/>
    <w:p>
      <w:pPr>
        <w:pStyle w:val="Bibliography"/>
      </w:pPr>
      <w:r>
        <w:t xml:space="preserve">Diehl, Timothy H. 2007. “A Modified Siphon Sampler for Shallow Water.” U.S. Department of the Interior, U.S. Geological Survey.</w:t>
      </w:r>
      <w:r>
        <w:t xml:space="preserve"> </w:t>
      </w:r>
      <w:hyperlink r:id="rId185">
        <w:r>
          <w:rPr>
            <w:rStyle w:val="Hyperlink"/>
          </w:rPr>
          <w:t xml:space="preserve">https://pubs.er.usgs.gov/publication/sir20075282</w:t>
        </w:r>
      </w:hyperlink>
      <w:r>
        <w:t xml:space="preserve">.</w:t>
      </w:r>
    </w:p>
    <w:bookmarkEnd w:id="186"/>
    <w:bookmarkStart w:id="188"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87">
        <w:r>
          <w:rPr>
            <w:rStyle w:val="Hyperlink"/>
          </w:rPr>
          <w:t xml:space="preserve">http://scholar.google.com/scholar?hl=en{\&amp;}btnG=Search{\&amp;}q=intitle:Running+Pure{\#}1</w:t>
        </w:r>
      </w:hyperlink>
      <w:r>
        <w:t xml:space="preserve">.</w:t>
      </w:r>
    </w:p>
    <w:bookmarkEnd w:id="188"/>
    <w:bookmarkStart w:id="190"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89">
        <w:r>
          <w:rPr>
            <w:rStyle w:val="Hyperlink"/>
          </w:rPr>
          <w:t xml:space="preserve">https://doi.org/10.1016/j.watres.2010.08.051</w:t>
        </w:r>
      </w:hyperlink>
      <w:r>
        <w:t xml:space="preserve">.</w:t>
      </w:r>
    </w:p>
    <w:bookmarkEnd w:id="190"/>
    <w:bookmarkStart w:id="191" w:name="ref-Epps1994"/>
    <w:p>
      <w:pPr>
        <w:pStyle w:val="Bibliography"/>
      </w:pPr>
      <w:r>
        <w:t xml:space="preserve">Epps, Deborah Norine. 1994. “Factors Affecting Disinfection By-Products from Surface Source Waters on Vancouver Island.” Master of Science, University of Victoria.</w:t>
      </w:r>
    </w:p>
    <w:bookmarkEnd w:id="191"/>
    <w:bookmarkStart w:id="193"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92">
        <w:r>
          <w:rPr>
            <w:rStyle w:val="Hyperlink"/>
          </w:rPr>
          <w:t xml:space="preserve">https://doi.org/10.4319/lo.2012.57.5.1453</w:t>
        </w:r>
      </w:hyperlink>
      <w:r>
        <w:t xml:space="preserve">.</w:t>
      </w:r>
    </w:p>
    <w:bookmarkEnd w:id="193"/>
    <w:bookmarkStart w:id="195"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4">
        <w:r>
          <w:rPr>
            <w:rStyle w:val="Hyperlink"/>
          </w:rPr>
          <w:t xml:space="preserve">https://doi.org/10.3133/fs06700</w:t>
        </w:r>
      </w:hyperlink>
      <w:r>
        <w:t xml:space="preserve">.</w:t>
      </w:r>
    </w:p>
    <w:bookmarkEnd w:id="195"/>
    <w:bookmarkStart w:id="197"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96">
        <w:r>
          <w:rPr>
            <w:rStyle w:val="Hyperlink"/>
          </w:rPr>
          <w:t xml:space="preserve">https://doi.org/10.13031/2013.15662</w:t>
        </w:r>
      </w:hyperlink>
      <w:r>
        <w:t xml:space="preserve">.</w:t>
      </w:r>
    </w:p>
    <w:bookmarkEnd w:id="197"/>
    <w:bookmarkStart w:id="199" w:name="ref-HealthCanada2019"/>
    <w:p>
      <w:pPr>
        <w:pStyle w:val="Bibliography"/>
      </w:pPr>
      <w:r>
        <w:t xml:space="preserve">Health Canada. 2019a. “Guidance on Natural Organic Matter in Drinking Water.”</w:t>
      </w:r>
      <w:r>
        <w:t xml:space="preserve"> </w:t>
      </w:r>
      <w:hyperlink r:id="rId198">
        <w:r>
          <w:rPr>
            <w:rStyle w:val="Hyperlink"/>
          </w:rPr>
          <w:t xml:space="preserve">https://www.canada.ca/content/dam/hc-sc/documents/programs/consultation-organic-matter-drinking-water/NOM20190129-eng.pdf</w:t>
        </w:r>
      </w:hyperlink>
      <w:r>
        <w:t xml:space="preserve">.</w:t>
      </w:r>
    </w:p>
    <w:bookmarkEnd w:id="199"/>
    <w:bookmarkStart w:id="201"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0">
        <w:r>
          <w:rPr>
            <w:rStyle w:val="Hyperlink"/>
          </w:rPr>
          <w:t xml:space="preserve">https://www.canada.ca/content/dam/hc-sc/migration/hc-sc/ewh-semt/alt{\_}formats/pdf/pubs/water-eau/sum{\_}guide-res{\_}recom/summary-table-August-15-2019-eng.pdf</w:t>
        </w:r>
      </w:hyperlink>
      <w:r>
        <w:t xml:space="preserve">.</w:t>
      </w:r>
    </w:p>
    <w:bookmarkEnd w:id="201"/>
    <w:bookmarkStart w:id="203" w:name="ref-HealthCanada2006"/>
    <w:p>
      <w:pPr>
        <w:pStyle w:val="Bibliography"/>
      </w:pPr>
      <w:r>
        <w:t xml:space="preserve">HealthCanada. 2006. “Drinking Water Chlorination.”</w:t>
      </w:r>
      <w:r>
        <w:t xml:space="preserve"> </w:t>
      </w:r>
      <w:hyperlink r:id="rId202">
        <w:r>
          <w:rPr>
            <w:rStyle w:val="Hyperlink"/>
          </w:rPr>
          <w:t xml:space="preserve">https://www.canada.ca/en/health-canada/services/healthy-living/your-health/environment/drinking-water-chlorination.html</w:t>
        </w:r>
      </w:hyperlink>
      <w:r>
        <w:t xml:space="preserve">.</w:t>
      </w:r>
    </w:p>
    <w:bookmarkEnd w:id="203"/>
    <w:bookmarkStart w:id="205" w:name="ref-HealthLinkBC2018"/>
    <w:p>
      <w:pPr>
        <w:pStyle w:val="Bibliography"/>
      </w:pPr>
      <w:r>
        <w:t xml:space="preserve">HealthLinkBC. 2018. “Drinking Water Chlorination Facts.”</w:t>
      </w:r>
      <w:r>
        <w:t xml:space="preserve"> </w:t>
      </w:r>
      <w:hyperlink r:id="rId204">
        <w:r>
          <w:rPr>
            <w:rStyle w:val="Hyperlink"/>
          </w:rPr>
          <w:t xml:space="preserve">https://www.healthlinkbc.ca/healthlinkbc-files/drinking-water-chlorination</w:t>
        </w:r>
      </w:hyperlink>
      <w:r>
        <w:t xml:space="preserve">.</w:t>
      </w:r>
    </w:p>
    <w:bookmarkEnd w:id="205"/>
    <w:bookmarkStart w:id="207"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06">
        <w:r>
          <w:rPr>
            <w:rStyle w:val="Hyperlink"/>
          </w:rPr>
          <w:t xml:space="preserve">https://www.jstor.org/stable/40058211</w:t>
        </w:r>
      </w:hyperlink>
      <w:r>
        <w:t xml:space="preserve">.</w:t>
      </w:r>
    </w:p>
    <w:bookmarkEnd w:id="207"/>
    <w:bookmarkStart w:id="209"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08">
        <w:r>
          <w:rPr>
            <w:rStyle w:val="Hyperlink"/>
          </w:rPr>
          <w:t xml:space="preserve">https://doi.org/10.1016/j.chemosphere.2015.03.039</w:t>
        </w:r>
      </w:hyperlink>
      <w:r>
        <w:t xml:space="preserve">.</w:t>
      </w:r>
    </w:p>
    <w:bookmarkEnd w:id="209"/>
    <w:bookmarkStart w:id="211"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0">
        <w:r>
          <w:rPr>
            <w:rStyle w:val="Hyperlink"/>
          </w:rPr>
          <w:t xml:space="preserve">https://doi.org/10.1002/j.1551-8833.1995.tb06302.x</w:t>
        </w:r>
      </w:hyperlink>
      <w:r>
        <w:t xml:space="preserve">.</w:t>
      </w:r>
    </w:p>
    <w:bookmarkEnd w:id="211"/>
    <w:bookmarkStart w:id="213"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2">
        <w:r>
          <w:rPr>
            <w:rStyle w:val="Hyperlink"/>
          </w:rPr>
          <w:t xml:space="preserve">https://doi.org/doi:10.1046/j.1365-2427.1997.d01-539.x</w:t>
        </w:r>
      </w:hyperlink>
      <w:r>
        <w:t xml:space="preserve">.</w:t>
      </w:r>
    </w:p>
    <w:bookmarkEnd w:id="213"/>
    <w:bookmarkStart w:id="215"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4">
        <w:r>
          <w:rPr>
            <w:rStyle w:val="Hyperlink"/>
          </w:rPr>
          <w:t xml:space="preserve">https://www.jstor.org/stable/41311011</w:t>
        </w:r>
      </w:hyperlink>
      <w:r>
        <w:t xml:space="preserve">.</w:t>
      </w:r>
    </w:p>
    <w:bookmarkEnd w:id="215"/>
    <w:bookmarkStart w:id="217"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16">
        <w:r>
          <w:rPr>
            <w:rStyle w:val="Hyperlink"/>
          </w:rPr>
          <w:t xml:space="preserve">https://doi.org/10.1002/j.1551-8833.2002.tb10250.x</w:t>
        </w:r>
      </w:hyperlink>
      <w:r>
        <w:t xml:space="preserve">.</w:t>
      </w:r>
    </w:p>
    <w:bookmarkEnd w:id="217"/>
    <w:bookmarkStart w:id="219"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18">
        <w:r>
          <w:rPr>
            <w:rStyle w:val="Hyperlink"/>
          </w:rPr>
          <w:t xml:space="preserve">https://archive.org/details/metaltransportre00lazeuoft/mode/2up</w:t>
        </w:r>
      </w:hyperlink>
      <w:r>
        <w:t xml:space="preserve">.</w:t>
      </w:r>
    </w:p>
    <w:bookmarkEnd w:id="219"/>
    <w:bookmarkStart w:id="22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0">
        <w:r>
          <w:rPr>
            <w:rStyle w:val="Hyperlink"/>
          </w:rPr>
          <w:t xml:space="preserve">https://doi.org/10.1016/j.jhazmat.2014.02.009</w:t>
        </w:r>
      </w:hyperlink>
      <w:r>
        <w:t xml:space="preserve">.</w:t>
      </w:r>
    </w:p>
    <w:bookmarkEnd w:id="221"/>
    <w:bookmarkStart w:id="223"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2">
        <w:r>
          <w:rPr>
            <w:rStyle w:val="Hyperlink"/>
          </w:rPr>
          <w:t xml:space="preserve">https://doi.org/10.1002/rra.1504</w:t>
        </w:r>
      </w:hyperlink>
      <w:r>
        <w:t xml:space="preserve">.</w:t>
      </w:r>
    </w:p>
    <w:bookmarkEnd w:id="223"/>
    <w:bookmarkStart w:id="225"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24">
        <w:r>
          <w:rPr>
            <w:rStyle w:val="Hyperlink"/>
          </w:rPr>
          <w:t xml:space="preserve">https://doi.org/10.1016/j.chemosphere.2011.01.018</w:t>
        </w:r>
      </w:hyperlink>
      <w:r>
        <w:t xml:space="preserve">.</w:t>
      </w:r>
    </w:p>
    <w:bookmarkEnd w:id="225"/>
    <w:bookmarkStart w:id="227"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26">
        <w:r>
          <w:rPr>
            <w:rStyle w:val="Hyperlink"/>
          </w:rPr>
          <w:t xml:space="preserve">https://doi.org/10.1016/j.cis.2010.06.007</w:t>
        </w:r>
      </w:hyperlink>
      <w:r>
        <w:t xml:space="preserve">.</w:t>
      </w:r>
    </w:p>
    <w:bookmarkEnd w:id="227"/>
    <w:bookmarkStart w:id="229"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28">
        <w:r>
          <w:rPr>
            <w:rStyle w:val="Hyperlink"/>
          </w:rPr>
          <w:t xml:space="preserve">https://www.jstor.org/stable/1937326</w:t>
        </w:r>
      </w:hyperlink>
      <w:r>
        <w:t xml:space="preserve">.</w:t>
      </w:r>
    </w:p>
    <w:bookmarkEnd w:id="229"/>
    <w:bookmarkStart w:id="230"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0"/>
    <w:bookmarkStart w:id="232"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1">
        <w:r>
          <w:rPr>
            <w:rStyle w:val="Hyperlink"/>
          </w:rPr>
          <w:t xml:space="preserve">https://doi.org/10.1007/s10533-015-0103-6</w:t>
        </w:r>
      </w:hyperlink>
      <w:r>
        <w:t xml:space="preserve">.</w:t>
      </w:r>
    </w:p>
    <w:bookmarkEnd w:id="232"/>
    <w:bookmarkStart w:id="234"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3">
        <w:r>
          <w:rPr>
            <w:rStyle w:val="Hyperlink"/>
          </w:rPr>
          <w:t xml:space="preserve">https://doi.org/10.5194/bg-10-2315-2013</w:t>
        </w:r>
      </w:hyperlink>
      <w:r>
        <w:t xml:space="preserve">.</w:t>
      </w:r>
    </w:p>
    <w:bookmarkEnd w:id="234"/>
    <w:bookmarkStart w:id="236"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35">
        <w:r>
          <w:rPr>
            <w:rStyle w:val="Hyperlink"/>
          </w:rPr>
          <w:t xml:space="preserve">http://www.jstor.com/stable/41295152</w:t>
        </w:r>
      </w:hyperlink>
      <w:r>
        <w:t xml:space="preserve">.</w:t>
      </w:r>
    </w:p>
    <w:bookmarkEnd w:id="236"/>
    <w:bookmarkStart w:id="238"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37">
        <w:r>
          <w:rPr>
            <w:rStyle w:val="Hyperlink"/>
          </w:rPr>
          <w:t xml:space="preserve">https://doi.org/10.1007/s11270-013-1651-9</w:t>
        </w:r>
      </w:hyperlink>
      <w:r>
        <w:t xml:space="preserve">.</w:t>
      </w:r>
    </w:p>
    <w:bookmarkEnd w:id="238"/>
    <w:bookmarkStart w:id="240"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39">
        <w:r>
          <w:rPr>
            <w:rStyle w:val="Hyperlink"/>
          </w:rPr>
          <w:t xml:space="preserve">https://doi.org/10.1016/S0003-2670(96)00412-6</w:t>
        </w:r>
      </w:hyperlink>
      <w:r>
        <w:t xml:space="preserve">.</w:t>
      </w:r>
    </w:p>
    <w:bookmarkEnd w:id="240"/>
    <w:bookmarkStart w:id="242"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1">
        <w:r>
          <w:rPr>
            <w:rStyle w:val="Hyperlink"/>
          </w:rPr>
          <w:t xml:space="preserve">https://www.for.gov.bc.ca/hfd/pubs/docs/lmh/Lmh66/LMH66{\_}volume2of2.pdf</w:t>
        </w:r>
      </w:hyperlink>
      <w:r>
        <w:t xml:space="preserve">.</w:t>
      </w:r>
    </w:p>
    <w:bookmarkEnd w:id="242"/>
    <w:bookmarkStart w:id="243"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3"/>
    <w:bookmarkStart w:id="245"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44">
        <w:r>
          <w:rPr>
            <w:rStyle w:val="Hyperlink"/>
          </w:rPr>
          <w:t xml:space="preserve">https://doi.org/10.1007/sl0533-010-9416-7</w:t>
        </w:r>
      </w:hyperlink>
      <w:r>
        <w:t xml:space="preserve">.</w:t>
      </w:r>
    </w:p>
    <w:bookmarkEnd w:id="245"/>
    <w:bookmarkStart w:id="247"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46">
        <w:r>
          <w:rPr>
            <w:rStyle w:val="Hyperlink"/>
          </w:rPr>
          <w:t xml:space="preserve">https://www.jstor.org/stable/24702986</w:t>
        </w:r>
      </w:hyperlink>
      <w:r>
        <w:t xml:space="preserve">.</w:t>
      </w:r>
    </w:p>
    <w:bookmarkEnd w:id="247"/>
    <w:bookmarkStart w:id="249"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48">
        <w:r>
          <w:rPr>
            <w:rStyle w:val="Hyperlink"/>
          </w:rPr>
          <w:t xml:space="preserve">https://doi.org/10.1016/j.mrrev.2007.09.001</w:t>
        </w:r>
      </w:hyperlink>
      <w:r>
        <w:t xml:space="preserve">.</w:t>
      </w:r>
    </w:p>
    <w:bookmarkEnd w:id="249"/>
    <w:bookmarkStart w:id="251"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50">
        <w:r>
          <w:rPr>
            <w:rStyle w:val="Hyperlink"/>
          </w:rPr>
          <w:t xml:space="preserve">https://doi.org/10.1111/j.1365-2427.2011.02613.x</w:t>
        </w:r>
      </w:hyperlink>
      <w:r>
        <w:t xml:space="preserve">.</w:t>
      </w:r>
    </w:p>
    <w:bookmarkEnd w:id="251"/>
    <w:bookmarkStart w:id="252"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52"/>
    <w:bookmarkStart w:id="253"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53"/>
    <w:bookmarkStart w:id="254"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54"/>
    <w:bookmarkStart w:id="25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55">
        <w:r>
          <w:rPr>
            <w:rStyle w:val="Hyperlink"/>
          </w:rPr>
          <w:t xml:space="preserve">https://doi.org/10.1007/s10533-008-9207-6</w:t>
        </w:r>
      </w:hyperlink>
      <w:r>
        <w:t xml:space="preserve">.</w:t>
      </w:r>
    </w:p>
    <w:bookmarkEnd w:id="256"/>
    <w:bookmarkStart w:id="25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57">
        <w:r>
          <w:rPr>
            <w:rStyle w:val="Hyperlink"/>
          </w:rPr>
          <w:t xml:space="preserve">https://doi.org/10.1021/es030360x</w:t>
        </w:r>
      </w:hyperlink>
      <w:r>
        <w:t xml:space="preserve">.</w:t>
      </w:r>
    </w:p>
    <w:bookmarkEnd w:id="258"/>
    <w:bookmarkStart w:id="26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59">
        <w:r>
          <w:rPr>
            <w:rStyle w:val="Hyperlink"/>
          </w:rPr>
          <w:t xml:space="preserve">https://doi.org/10.1007/s11356-015-4078-6</w:t>
        </w:r>
      </w:hyperlink>
      <w:r>
        <w:t xml:space="preserve">.</w:t>
      </w:r>
    </w:p>
    <w:bookmarkEnd w:id="260"/>
    <w:bookmarkStart w:id="26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61">
        <w:r>
          <w:rPr>
            <w:rStyle w:val="Hyperlink"/>
          </w:rPr>
          <w:t xml:space="preserve">https://doi.org/10.1029/2018GL080005</w:t>
        </w:r>
      </w:hyperlink>
      <w:r>
        <w:t xml:space="preserve">.</w:t>
      </w:r>
    </w:p>
    <w:bookmarkEnd w:id="262"/>
    <w:bookmarkEnd w:id="263"/>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87">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148">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82" Target="media/rId82.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150" Target="media/rId150.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96" Target="media/rId9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01" Target="media/rId101.png"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image" Id="rId102" Target="media/rId102.png" /><Relationship Type="http://schemas.openxmlformats.org/officeDocument/2006/relationships/image" Id="rId130" Target="media/rId130.png" /><Relationship Type="http://schemas.openxmlformats.org/officeDocument/2006/relationships/hyperlink" Id="rId187" Target="http://scholar.google.com/scholar?hl=en%7B\&amp;%7DbtnG=Search%7B\&amp;%7Dq=intitle:Running+Pure%7B\#%7D1" TargetMode="External" /><Relationship Type="http://schemas.openxmlformats.org/officeDocument/2006/relationships/hyperlink" Id="rId235" Target="http://www.jstor.com/stable/41295152" TargetMode="External" /><Relationship Type="http://schemas.openxmlformats.org/officeDocument/2006/relationships/hyperlink" Id="rId161" Target="http://www.standardmethods.org/" TargetMode="External" /><Relationship Type="http://schemas.openxmlformats.org/officeDocument/2006/relationships/hyperlink" Id="rId218" Target="https://archive.org/details/metaltransportre00lazeuoft/mode/2up" TargetMode="External" /><Relationship Type="http://schemas.openxmlformats.org/officeDocument/2006/relationships/hyperlink" Id="rId153" Target="https://doi.org/10.1002/j.1551-8833.1995.tb06299.x" TargetMode="External" /><Relationship Type="http://schemas.openxmlformats.org/officeDocument/2006/relationships/hyperlink" Id="rId210" Target="https://doi.org/10.1002/j.1551-8833.1995.tb06302.x" TargetMode="External" /><Relationship Type="http://schemas.openxmlformats.org/officeDocument/2006/relationships/hyperlink" Id="rId216" Target="https://doi.org/10.1002/j.1551-8833.2002.tb10250.x" TargetMode="External" /><Relationship Type="http://schemas.openxmlformats.org/officeDocument/2006/relationships/hyperlink" Id="rId222" Target="https://doi.org/10.1002/rra.1504" TargetMode="External" /><Relationship Type="http://schemas.openxmlformats.org/officeDocument/2006/relationships/hyperlink" Id="rId255" Target="https://doi.org/10.1007/s10533-008-9207-6" TargetMode="External" /><Relationship Type="http://schemas.openxmlformats.org/officeDocument/2006/relationships/hyperlink" Id="rId231" Target="https://doi.org/10.1007/s10533-015-0103-6" TargetMode="External" /><Relationship Type="http://schemas.openxmlformats.org/officeDocument/2006/relationships/hyperlink" Id="rId237" Target="https://doi.org/10.1007/s11270-013-1651-9" TargetMode="External" /><Relationship Type="http://schemas.openxmlformats.org/officeDocument/2006/relationships/hyperlink" Id="rId259" Target="https://doi.org/10.1007/s11356-015-4078-6" TargetMode="External" /><Relationship Type="http://schemas.openxmlformats.org/officeDocument/2006/relationships/hyperlink" Id="rId165" Target="https://doi.org/10.1007/s11749-016-0481-7" TargetMode="External" /><Relationship Type="http://schemas.openxmlformats.org/officeDocument/2006/relationships/hyperlink" Id="rId244" Target="https://doi.org/10.1007/sl0533-010-9416-7" TargetMode="External" /><Relationship Type="http://schemas.openxmlformats.org/officeDocument/2006/relationships/hyperlink" Id="rId181" Target="https://doi.org/10.1016/B978-0-12-382092-1.00019-1" TargetMode="External" /><Relationship Type="http://schemas.openxmlformats.org/officeDocument/2006/relationships/hyperlink" Id="rId239" Target="https://doi.org/10.1016/S0003-2670(96)00412-6" TargetMode="External" /><Relationship Type="http://schemas.openxmlformats.org/officeDocument/2006/relationships/hyperlink" Id="rId224" Target="https://doi.org/10.1016/j.chemosphere.2011.01.018" TargetMode="External" /><Relationship Type="http://schemas.openxmlformats.org/officeDocument/2006/relationships/hyperlink" Id="rId208" Target="https://doi.org/10.1016/j.chemosphere.2015.03.039" TargetMode="External" /><Relationship Type="http://schemas.openxmlformats.org/officeDocument/2006/relationships/hyperlink" Id="rId226" Target="https://doi.org/10.1016/j.cis.2010.06.007" TargetMode="External" /><Relationship Type="http://schemas.openxmlformats.org/officeDocument/2006/relationships/hyperlink" Id="rId220" Target="https://doi.org/10.1016/j.jhazmat.2014.02.009" TargetMode="External" /><Relationship Type="http://schemas.openxmlformats.org/officeDocument/2006/relationships/hyperlink" Id="rId157" Target="https://doi.org/10.1016/j.jhydrol.2014.05.060" TargetMode="External" /><Relationship Type="http://schemas.openxmlformats.org/officeDocument/2006/relationships/hyperlink" Id="rId248" Target="https://doi.org/10.1016/j.mrrev.2007.09.001" TargetMode="External" /><Relationship Type="http://schemas.openxmlformats.org/officeDocument/2006/relationships/hyperlink" Id="rId189" Target="https://doi.org/10.1016/j.watres.2010.08.051" TargetMode="External" /><Relationship Type="http://schemas.openxmlformats.org/officeDocument/2006/relationships/hyperlink" Id="rId183" Target="https://doi.org/10.1016/j.watres.2016.08.031" TargetMode="External" /><Relationship Type="http://schemas.openxmlformats.org/officeDocument/2006/relationships/hyperlink" Id="rId257" Target="https://doi.org/10.1021/es030360x" TargetMode="External" /><Relationship Type="http://schemas.openxmlformats.org/officeDocument/2006/relationships/hyperlink" Id="rId155" Target="https://doi.org/10.1021/es103992s" TargetMode="External" /><Relationship Type="http://schemas.openxmlformats.org/officeDocument/2006/relationships/hyperlink" Id="rId159" Target="https://doi.org/10.1029/2007JG000674" TargetMode="External" /><Relationship Type="http://schemas.openxmlformats.org/officeDocument/2006/relationships/hyperlink" Id="rId261" Target="https://doi.org/10.1029/2018GL080005" TargetMode="External" /><Relationship Type="http://schemas.openxmlformats.org/officeDocument/2006/relationships/hyperlink" Id="rId151" Target="https://doi.org/10.1111/ele.12897" TargetMode="External" /><Relationship Type="http://schemas.openxmlformats.org/officeDocument/2006/relationships/hyperlink" Id="rId250" Target="https://doi.org/10.1111/j.1365-2427.2011.02613.x" TargetMode="External" /><Relationship Type="http://schemas.openxmlformats.org/officeDocument/2006/relationships/hyperlink" Id="rId179" Target="https://doi.org/10.1139/cjfas-2014-0400" TargetMode="External" /><Relationship Type="http://schemas.openxmlformats.org/officeDocument/2006/relationships/hyperlink" Id="rId167" Target="https://doi.org/10.1201/9780367816377-11" TargetMode="External" /><Relationship Type="http://schemas.openxmlformats.org/officeDocument/2006/relationships/hyperlink" Id="rId196" Target="https://doi.org/10.13031/2013.15662" TargetMode="External" /><Relationship Type="http://schemas.openxmlformats.org/officeDocument/2006/relationships/hyperlink" Id="rId163" Target="https://doi.org/10.2105/SMWW.2882.113" TargetMode="External" /><Relationship Type="http://schemas.openxmlformats.org/officeDocument/2006/relationships/hyperlink" Id="rId172" Target="https://doi.org/10.2166/aqua.2008.064" TargetMode="External" /><Relationship Type="http://schemas.openxmlformats.org/officeDocument/2006/relationships/hyperlink" Id="rId194" Target="https://doi.org/10.3133/fs06700" TargetMode="External" /><Relationship Type="http://schemas.openxmlformats.org/officeDocument/2006/relationships/hyperlink" Id="rId192" Target="https://doi.org/10.4319/lo.2012.57.5.1453" TargetMode="External" /><Relationship Type="http://schemas.openxmlformats.org/officeDocument/2006/relationships/hyperlink" Id="rId233" Target="https://doi.org/10.5194/bg-10-2315-2013" TargetMode="External" /><Relationship Type="http://schemas.openxmlformats.org/officeDocument/2006/relationships/hyperlink" Id="rId176" Target="https://doi.org/IWSS-297445977-5079" TargetMode="External" /><Relationship Type="http://schemas.openxmlformats.org/officeDocument/2006/relationships/hyperlink" Id="rId212" Target="https://doi.org/doi:10.1046/j.1365-2427.1997.d01-539.x" TargetMode="External" /><Relationship Type="http://schemas.openxmlformats.org/officeDocument/2006/relationships/hyperlink" Id="rId185" Target="https://pubs.er.usgs.gov/publication/sir20075282" TargetMode="External" /><Relationship Type="http://schemas.openxmlformats.org/officeDocument/2006/relationships/hyperlink" Id="rId198" Target="https://www.canada.ca/content/dam/hc-sc/documents/programs/consultation-organic-matter-drinking-water/NOM20190129-eng.pdf" TargetMode="External" /><Relationship Type="http://schemas.openxmlformats.org/officeDocument/2006/relationships/hyperlink" Id="rId200" Target="https://www.canada.ca/content/dam/hc-sc/migration/hc-sc/ewh-semt/alt%7B\_%7Dformats/pdf/pubs/water-eau/sum%7B\_%7Dguide-res%7B\_%7Drecom/summary-table-August-15-2019-eng.pdf" TargetMode="External" /><Relationship Type="http://schemas.openxmlformats.org/officeDocument/2006/relationships/hyperlink" Id="rId202" Target="https://www.canada.ca/en/health-canada/services/healthy-living/your-health/environment/drinking-water-chlorination.html" TargetMode="External" /><Relationship Type="http://schemas.openxmlformats.org/officeDocument/2006/relationships/hyperlink" Id="rId174" Target="https://www.crd.bc.ca/project/past-capital-projects-and-initiatives/water-supply-plan" TargetMode="External" /><Relationship Type="http://schemas.openxmlformats.org/officeDocument/2006/relationships/hyperlink" Id="rId241"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204" Target="https://www.healthlinkbc.ca/healthlinkbc-files/drinking-water-chlorination" TargetMode="External" /><Relationship Type="http://schemas.openxmlformats.org/officeDocument/2006/relationships/hyperlink" Id="rId228" Target="https://www.jstor.org/stable/1937326" TargetMode="External" /><Relationship Type="http://schemas.openxmlformats.org/officeDocument/2006/relationships/hyperlink" Id="rId246" Target="https://www.jstor.org/stable/24702986" TargetMode="External" /><Relationship Type="http://schemas.openxmlformats.org/officeDocument/2006/relationships/hyperlink" Id="rId206" Target="https://www.jstor.org/stable/40058211" TargetMode="External" /><Relationship Type="http://schemas.openxmlformats.org/officeDocument/2006/relationships/hyperlink" Id="rId214" Target="https://www.jstor.org/stable/41311011" TargetMode="External" /><Relationship Type="http://schemas.openxmlformats.org/officeDocument/2006/relationships/hyperlink" Id="rId169"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87" Target="http://scholar.google.com/scholar?hl=en%7B\&amp;%7DbtnG=Search%7B\&amp;%7Dq=intitle:Running+Pure%7B\#%7D1" TargetMode="External" /><Relationship Type="http://schemas.openxmlformats.org/officeDocument/2006/relationships/hyperlink" Id="rId235" Target="http://www.jstor.com/stable/41295152" TargetMode="External" /><Relationship Type="http://schemas.openxmlformats.org/officeDocument/2006/relationships/hyperlink" Id="rId161" Target="http://www.standardmethods.org/" TargetMode="External" /><Relationship Type="http://schemas.openxmlformats.org/officeDocument/2006/relationships/hyperlink" Id="rId218" Target="https://archive.org/details/metaltransportre00lazeuoft/mode/2up" TargetMode="External" /><Relationship Type="http://schemas.openxmlformats.org/officeDocument/2006/relationships/hyperlink" Id="rId153" Target="https://doi.org/10.1002/j.1551-8833.1995.tb06299.x" TargetMode="External" /><Relationship Type="http://schemas.openxmlformats.org/officeDocument/2006/relationships/hyperlink" Id="rId210" Target="https://doi.org/10.1002/j.1551-8833.1995.tb06302.x" TargetMode="External" /><Relationship Type="http://schemas.openxmlformats.org/officeDocument/2006/relationships/hyperlink" Id="rId216" Target="https://doi.org/10.1002/j.1551-8833.2002.tb10250.x" TargetMode="External" /><Relationship Type="http://schemas.openxmlformats.org/officeDocument/2006/relationships/hyperlink" Id="rId222" Target="https://doi.org/10.1002/rra.1504" TargetMode="External" /><Relationship Type="http://schemas.openxmlformats.org/officeDocument/2006/relationships/hyperlink" Id="rId255" Target="https://doi.org/10.1007/s10533-008-9207-6" TargetMode="External" /><Relationship Type="http://schemas.openxmlformats.org/officeDocument/2006/relationships/hyperlink" Id="rId231" Target="https://doi.org/10.1007/s10533-015-0103-6" TargetMode="External" /><Relationship Type="http://schemas.openxmlformats.org/officeDocument/2006/relationships/hyperlink" Id="rId237" Target="https://doi.org/10.1007/s11270-013-1651-9" TargetMode="External" /><Relationship Type="http://schemas.openxmlformats.org/officeDocument/2006/relationships/hyperlink" Id="rId259" Target="https://doi.org/10.1007/s11356-015-4078-6" TargetMode="External" /><Relationship Type="http://schemas.openxmlformats.org/officeDocument/2006/relationships/hyperlink" Id="rId165" Target="https://doi.org/10.1007/s11749-016-0481-7" TargetMode="External" /><Relationship Type="http://schemas.openxmlformats.org/officeDocument/2006/relationships/hyperlink" Id="rId244" Target="https://doi.org/10.1007/sl0533-010-9416-7" TargetMode="External" /><Relationship Type="http://schemas.openxmlformats.org/officeDocument/2006/relationships/hyperlink" Id="rId181" Target="https://doi.org/10.1016/B978-0-12-382092-1.00019-1" TargetMode="External" /><Relationship Type="http://schemas.openxmlformats.org/officeDocument/2006/relationships/hyperlink" Id="rId239" Target="https://doi.org/10.1016/S0003-2670(96)00412-6" TargetMode="External" /><Relationship Type="http://schemas.openxmlformats.org/officeDocument/2006/relationships/hyperlink" Id="rId224" Target="https://doi.org/10.1016/j.chemosphere.2011.01.018" TargetMode="External" /><Relationship Type="http://schemas.openxmlformats.org/officeDocument/2006/relationships/hyperlink" Id="rId208" Target="https://doi.org/10.1016/j.chemosphere.2015.03.039" TargetMode="External" /><Relationship Type="http://schemas.openxmlformats.org/officeDocument/2006/relationships/hyperlink" Id="rId226" Target="https://doi.org/10.1016/j.cis.2010.06.007" TargetMode="External" /><Relationship Type="http://schemas.openxmlformats.org/officeDocument/2006/relationships/hyperlink" Id="rId220" Target="https://doi.org/10.1016/j.jhazmat.2014.02.009" TargetMode="External" /><Relationship Type="http://schemas.openxmlformats.org/officeDocument/2006/relationships/hyperlink" Id="rId157" Target="https://doi.org/10.1016/j.jhydrol.2014.05.060" TargetMode="External" /><Relationship Type="http://schemas.openxmlformats.org/officeDocument/2006/relationships/hyperlink" Id="rId248" Target="https://doi.org/10.1016/j.mrrev.2007.09.001" TargetMode="External" /><Relationship Type="http://schemas.openxmlformats.org/officeDocument/2006/relationships/hyperlink" Id="rId189" Target="https://doi.org/10.1016/j.watres.2010.08.051" TargetMode="External" /><Relationship Type="http://schemas.openxmlformats.org/officeDocument/2006/relationships/hyperlink" Id="rId183" Target="https://doi.org/10.1016/j.watres.2016.08.031" TargetMode="External" /><Relationship Type="http://schemas.openxmlformats.org/officeDocument/2006/relationships/hyperlink" Id="rId257" Target="https://doi.org/10.1021/es030360x" TargetMode="External" /><Relationship Type="http://schemas.openxmlformats.org/officeDocument/2006/relationships/hyperlink" Id="rId155" Target="https://doi.org/10.1021/es103992s" TargetMode="External" /><Relationship Type="http://schemas.openxmlformats.org/officeDocument/2006/relationships/hyperlink" Id="rId159" Target="https://doi.org/10.1029/2007JG000674" TargetMode="External" /><Relationship Type="http://schemas.openxmlformats.org/officeDocument/2006/relationships/hyperlink" Id="rId261" Target="https://doi.org/10.1029/2018GL080005" TargetMode="External" /><Relationship Type="http://schemas.openxmlformats.org/officeDocument/2006/relationships/hyperlink" Id="rId151" Target="https://doi.org/10.1111/ele.12897" TargetMode="External" /><Relationship Type="http://schemas.openxmlformats.org/officeDocument/2006/relationships/hyperlink" Id="rId250" Target="https://doi.org/10.1111/j.1365-2427.2011.02613.x" TargetMode="External" /><Relationship Type="http://schemas.openxmlformats.org/officeDocument/2006/relationships/hyperlink" Id="rId179" Target="https://doi.org/10.1139/cjfas-2014-0400" TargetMode="External" /><Relationship Type="http://schemas.openxmlformats.org/officeDocument/2006/relationships/hyperlink" Id="rId167" Target="https://doi.org/10.1201/9780367816377-11" TargetMode="External" /><Relationship Type="http://schemas.openxmlformats.org/officeDocument/2006/relationships/hyperlink" Id="rId196" Target="https://doi.org/10.13031/2013.15662" TargetMode="External" /><Relationship Type="http://schemas.openxmlformats.org/officeDocument/2006/relationships/hyperlink" Id="rId163" Target="https://doi.org/10.2105/SMWW.2882.113" TargetMode="External" /><Relationship Type="http://schemas.openxmlformats.org/officeDocument/2006/relationships/hyperlink" Id="rId172" Target="https://doi.org/10.2166/aqua.2008.064" TargetMode="External" /><Relationship Type="http://schemas.openxmlformats.org/officeDocument/2006/relationships/hyperlink" Id="rId194" Target="https://doi.org/10.3133/fs06700" TargetMode="External" /><Relationship Type="http://schemas.openxmlformats.org/officeDocument/2006/relationships/hyperlink" Id="rId192" Target="https://doi.org/10.4319/lo.2012.57.5.1453" TargetMode="External" /><Relationship Type="http://schemas.openxmlformats.org/officeDocument/2006/relationships/hyperlink" Id="rId233" Target="https://doi.org/10.5194/bg-10-2315-2013" TargetMode="External" /><Relationship Type="http://schemas.openxmlformats.org/officeDocument/2006/relationships/hyperlink" Id="rId176" Target="https://doi.org/IWSS-297445977-5079" TargetMode="External" /><Relationship Type="http://schemas.openxmlformats.org/officeDocument/2006/relationships/hyperlink" Id="rId212" Target="https://doi.org/doi:10.1046/j.1365-2427.1997.d01-539.x" TargetMode="External" /><Relationship Type="http://schemas.openxmlformats.org/officeDocument/2006/relationships/hyperlink" Id="rId185" Target="https://pubs.er.usgs.gov/publication/sir20075282" TargetMode="External" /><Relationship Type="http://schemas.openxmlformats.org/officeDocument/2006/relationships/hyperlink" Id="rId198" Target="https://www.canada.ca/content/dam/hc-sc/documents/programs/consultation-organic-matter-drinking-water/NOM20190129-eng.pdf" TargetMode="External" /><Relationship Type="http://schemas.openxmlformats.org/officeDocument/2006/relationships/hyperlink" Id="rId200" Target="https://www.canada.ca/content/dam/hc-sc/migration/hc-sc/ewh-semt/alt%7B\_%7Dformats/pdf/pubs/water-eau/sum%7B\_%7Dguide-res%7B\_%7Drecom/summary-table-August-15-2019-eng.pdf" TargetMode="External" /><Relationship Type="http://schemas.openxmlformats.org/officeDocument/2006/relationships/hyperlink" Id="rId202" Target="https://www.canada.ca/en/health-canada/services/healthy-living/your-health/environment/drinking-water-chlorination.html" TargetMode="External" /><Relationship Type="http://schemas.openxmlformats.org/officeDocument/2006/relationships/hyperlink" Id="rId174" Target="https://www.crd.bc.ca/project/past-capital-projects-and-initiatives/water-supply-plan" TargetMode="External" /><Relationship Type="http://schemas.openxmlformats.org/officeDocument/2006/relationships/hyperlink" Id="rId241"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204" Target="https://www.healthlinkbc.ca/healthlinkbc-files/drinking-water-chlorination" TargetMode="External" /><Relationship Type="http://schemas.openxmlformats.org/officeDocument/2006/relationships/hyperlink" Id="rId228" Target="https://www.jstor.org/stable/1937326" TargetMode="External" /><Relationship Type="http://schemas.openxmlformats.org/officeDocument/2006/relationships/hyperlink" Id="rId246" Target="https://www.jstor.org/stable/24702986" TargetMode="External" /><Relationship Type="http://schemas.openxmlformats.org/officeDocument/2006/relationships/hyperlink" Id="rId206" Target="https://www.jstor.org/stable/40058211" TargetMode="External" /><Relationship Type="http://schemas.openxmlformats.org/officeDocument/2006/relationships/hyperlink" Id="rId214" Target="https://www.jstor.org/stable/41311011" TargetMode="External" /><Relationship Type="http://schemas.openxmlformats.org/officeDocument/2006/relationships/hyperlink" Id="rId169"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2020-07-16T06:58:09Z</dcterms:created>
  <dcterms:modified xsi:type="dcterms:W3CDTF">2020-07-16T06:58:09Z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